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C9" w:rsidRPr="00646AA1" w:rsidRDefault="00C4471B" w:rsidP="009E1031">
      <w:pPr>
        <w:jc w:val="both"/>
      </w:pPr>
      <w:bookmarkStart w:id="0" w:name="_GoBack"/>
      <w:bookmarkEnd w:id="0"/>
      <w:r w:rsidRPr="00646AA1">
        <w:t>P</w:t>
      </w:r>
      <w:r w:rsidR="00FE0BC9" w:rsidRPr="00646AA1">
        <w:t>ayment of holiday pay is on 12 June</w:t>
      </w:r>
      <w:r w:rsidRPr="00646AA1">
        <w:t>. E</w:t>
      </w:r>
      <w:r w:rsidR="00FE0BC9" w:rsidRPr="00646AA1">
        <w:t xml:space="preserve">xperience has taught us that there are many questions concerning the calculation </w:t>
      </w:r>
      <w:r w:rsidRPr="00646AA1">
        <w:t xml:space="preserve">and payment </w:t>
      </w:r>
      <w:r w:rsidR="00FE0BC9" w:rsidRPr="00646AA1">
        <w:t>of holiday pay</w:t>
      </w:r>
      <w:r w:rsidRPr="00646AA1">
        <w:t xml:space="preserve">. </w:t>
      </w:r>
      <w:r w:rsidR="00FE0BC9" w:rsidRPr="00646AA1">
        <w:t xml:space="preserve"> </w:t>
      </w:r>
    </w:p>
    <w:p w:rsidR="00FE0BC9" w:rsidRPr="00646AA1" w:rsidRDefault="00FE0BC9" w:rsidP="009E1031">
      <w:pPr>
        <w:jc w:val="both"/>
      </w:pPr>
      <w:r w:rsidRPr="00646AA1">
        <w:t xml:space="preserve">The number of vacation days deducted from your salary is equal to the number of paid vacation days to which you are entitled. 5 weeks holiday (6 weeks for those over 60 years old) </w:t>
      </w:r>
      <w:proofErr w:type="gramStart"/>
      <w:r w:rsidR="00646AA1" w:rsidRPr="00646AA1">
        <w:t>is deducted</w:t>
      </w:r>
      <w:proofErr w:type="gramEnd"/>
      <w:r w:rsidR="00646AA1" w:rsidRPr="00646AA1">
        <w:t xml:space="preserve"> from your salary in June. </w:t>
      </w:r>
      <w:r w:rsidRPr="00646AA1">
        <w:t xml:space="preserve"> Full </w:t>
      </w:r>
      <w:r w:rsidR="00646AA1" w:rsidRPr="00646AA1">
        <w:t>holiday entitlement</w:t>
      </w:r>
      <w:r w:rsidRPr="00646AA1">
        <w:t xml:space="preserve"> (25 workdays, 30 days for those over 60 years) </w:t>
      </w:r>
      <w:r w:rsidR="00D049B1" w:rsidRPr="00646AA1">
        <w:t>exceeds</w:t>
      </w:r>
      <w:r w:rsidRPr="00646AA1">
        <w:t xml:space="preserve"> one monthly salary (</w:t>
      </w:r>
      <w:r w:rsidR="00646AA1" w:rsidRPr="00646AA1">
        <w:t xml:space="preserve">which is </w:t>
      </w:r>
      <w:r w:rsidRPr="00646AA1">
        <w:t>ap</w:t>
      </w:r>
      <w:r w:rsidR="00646AA1" w:rsidRPr="00646AA1">
        <w:t>p</w:t>
      </w:r>
      <w:r w:rsidRPr="00646AA1">
        <w:t>rox</w:t>
      </w:r>
      <w:r w:rsidR="00646AA1" w:rsidRPr="00646AA1">
        <w:t xml:space="preserve">imately </w:t>
      </w:r>
      <w:r w:rsidRPr="00646AA1">
        <w:t>22 workdays)</w:t>
      </w:r>
      <w:r w:rsidR="00646AA1">
        <w:t xml:space="preserve">, leaving a </w:t>
      </w:r>
      <w:r w:rsidRPr="00646AA1">
        <w:t>negative net amount on the Ju</w:t>
      </w:r>
      <w:r w:rsidR="00A10EE3" w:rsidRPr="00646AA1">
        <w:t xml:space="preserve">ne salary. </w:t>
      </w:r>
      <w:r w:rsidR="00646AA1">
        <w:t>H</w:t>
      </w:r>
      <w:r w:rsidR="00A10EE3" w:rsidRPr="00646AA1">
        <w:t xml:space="preserve">oliday pay </w:t>
      </w:r>
      <w:proofErr w:type="gramStart"/>
      <w:r w:rsidR="00646AA1">
        <w:t xml:space="preserve">is </w:t>
      </w:r>
      <w:r w:rsidR="00A10EE3" w:rsidRPr="00646AA1">
        <w:t>based</w:t>
      </w:r>
      <w:proofErr w:type="gramEnd"/>
      <w:r w:rsidR="00A10EE3" w:rsidRPr="00646AA1">
        <w:t xml:space="preserve"> on a </w:t>
      </w:r>
      <w:r w:rsidR="00646AA1">
        <w:t>full</w:t>
      </w:r>
      <w:r w:rsidR="00646AA1" w:rsidRPr="00646AA1">
        <w:t xml:space="preserve"> </w:t>
      </w:r>
      <w:r w:rsidR="00A10EE3" w:rsidRPr="00646AA1">
        <w:t>year’s employment the previou</w:t>
      </w:r>
      <w:r w:rsidR="00D049B1" w:rsidRPr="00646AA1">
        <w:t>s year</w:t>
      </w:r>
      <w:r w:rsidR="00646AA1">
        <w:t>, which</w:t>
      </w:r>
      <w:r w:rsidR="00D049B1" w:rsidRPr="00646AA1">
        <w:t xml:space="preserve"> covers a deduction of 5/6</w:t>
      </w:r>
      <w:r w:rsidR="00A10EE3" w:rsidRPr="00646AA1">
        <w:t xml:space="preserve"> weeks, </w:t>
      </w:r>
      <w:r w:rsidR="00646AA1">
        <w:t xml:space="preserve">resulting in a </w:t>
      </w:r>
      <w:r w:rsidR="00A10EE3" w:rsidRPr="00646AA1">
        <w:t xml:space="preserve">gross amount for June </w:t>
      </w:r>
      <w:r w:rsidR="00646AA1">
        <w:t xml:space="preserve">that is usually </w:t>
      </w:r>
      <w:r w:rsidR="00A10EE3" w:rsidRPr="00646AA1">
        <w:t xml:space="preserve">higher than </w:t>
      </w:r>
      <w:r w:rsidR="00646AA1">
        <w:t>your</w:t>
      </w:r>
      <w:r w:rsidR="00A10EE3" w:rsidRPr="00646AA1">
        <w:t xml:space="preserve"> regular gross </w:t>
      </w:r>
      <w:r w:rsidR="00646AA1">
        <w:t xml:space="preserve">monthly </w:t>
      </w:r>
      <w:r w:rsidR="00A10EE3" w:rsidRPr="00646AA1">
        <w:t>salary</w:t>
      </w:r>
      <w:r w:rsidR="00646AA1">
        <w:t xml:space="preserve"> amount</w:t>
      </w:r>
      <w:r w:rsidR="00A10EE3" w:rsidRPr="00646AA1">
        <w:t xml:space="preserve">. In accordance, no tax </w:t>
      </w:r>
      <w:proofErr w:type="gramStart"/>
      <w:r w:rsidR="00A10EE3" w:rsidRPr="00646AA1">
        <w:t>is deducted</w:t>
      </w:r>
      <w:proofErr w:type="gramEnd"/>
      <w:r w:rsidR="00A10EE3" w:rsidRPr="00646AA1">
        <w:t xml:space="preserve"> from the holiday pay</w:t>
      </w:r>
      <w:r w:rsidR="00646AA1">
        <w:t>ment</w:t>
      </w:r>
      <w:r w:rsidR="00A10EE3" w:rsidRPr="00646AA1">
        <w:t>, which means that the net amount in June will be considerably higher than a regular monthly salary.</w:t>
      </w:r>
    </w:p>
    <w:p w:rsidR="00A10EE3" w:rsidRPr="00646AA1" w:rsidRDefault="00646AA1">
      <w:r>
        <w:t>Following is an e</w:t>
      </w:r>
      <w:r w:rsidR="00A10EE3" w:rsidRPr="00646AA1">
        <w:t>xample o</w:t>
      </w:r>
      <w:r>
        <w:t>f</w:t>
      </w:r>
      <w:r w:rsidR="00A10EE3" w:rsidRPr="00646AA1">
        <w:t xml:space="preserve"> the calculation of </w:t>
      </w:r>
      <w:r w:rsidR="00AB7E2C">
        <w:t>holiday pay in June</w:t>
      </w:r>
      <w:r w:rsidR="00A10EE3" w:rsidRPr="00646AA1">
        <w:t xml:space="preserve"> for an employee with a </w:t>
      </w:r>
      <w:r>
        <w:t>full</w:t>
      </w:r>
      <w:r w:rsidRPr="00646AA1">
        <w:t xml:space="preserve"> </w:t>
      </w:r>
      <w:r w:rsidR="00A10EE3" w:rsidRPr="00646AA1">
        <w:t>year’s employment the previous year:</w:t>
      </w:r>
    </w:p>
    <w:p w:rsidR="00A10EE3" w:rsidRPr="00646AA1" w:rsidRDefault="00A10EE3">
      <w:r w:rsidRPr="00646AA1">
        <w:t xml:space="preserve">Gross amount salary June: </w:t>
      </w:r>
      <w:r w:rsidRPr="00646AA1">
        <w:tab/>
      </w:r>
      <w:r w:rsidRPr="00646AA1">
        <w:tab/>
      </w:r>
      <w:r w:rsidRPr="00646AA1">
        <w:tab/>
      </w:r>
      <w:r w:rsidRPr="00646AA1">
        <w:tab/>
      </w:r>
      <w:r w:rsidR="006E4A60" w:rsidRPr="00646AA1">
        <w:tab/>
      </w:r>
      <w:r w:rsidR="006E4A60" w:rsidRPr="00646AA1">
        <w:tab/>
      </w:r>
      <w:r w:rsidR="006E4A60" w:rsidRPr="00646AA1">
        <w:tab/>
      </w:r>
      <w:r w:rsidR="006E4A60" w:rsidRPr="00646AA1">
        <w:tab/>
      </w:r>
      <w:r w:rsidRPr="00646AA1">
        <w:t>38 750</w:t>
      </w:r>
    </w:p>
    <w:p w:rsidR="00A10EE3" w:rsidRPr="00646AA1" w:rsidRDefault="00A10EE3">
      <w:r w:rsidRPr="00646AA1">
        <w:t>Holiday pay earned previous year (450 </w:t>
      </w:r>
      <w:r w:rsidR="006E4A60" w:rsidRPr="00646AA1">
        <w:t>75</w:t>
      </w:r>
      <w:r w:rsidRPr="00646AA1">
        <w:t>1 x 12%)</w:t>
      </w:r>
      <w:r w:rsidRPr="00646AA1">
        <w:tab/>
      </w:r>
      <w:r w:rsidR="006E4A60" w:rsidRPr="00646AA1">
        <w:tab/>
      </w:r>
      <w:r w:rsidR="006E4A60" w:rsidRPr="00646AA1">
        <w:tab/>
      </w:r>
      <w:r w:rsidR="006E4A60" w:rsidRPr="00646AA1">
        <w:tab/>
      </w:r>
      <w:r w:rsidR="006E4A60" w:rsidRPr="00646AA1">
        <w:tab/>
      </w:r>
      <w:r w:rsidRPr="00646AA1">
        <w:t>54 090</w:t>
      </w:r>
    </w:p>
    <w:p w:rsidR="00A10EE3" w:rsidRPr="00646AA1" w:rsidRDefault="00A10EE3">
      <w:r w:rsidRPr="00646AA1">
        <w:t>Deduction of 5 weeks’ vacation (monthly salary June x 12 months/52 weeks x 5 weeks)</w:t>
      </w:r>
      <w:r w:rsidRPr="00646AA1">
        <w:tab/>
        <w:t>44</w:t>
      </w:r>
      <w:r w:rsidR="006E4A60" w:rsidRPr="00646AA1">
        <w:t> </w:t>
      </w:r>
      <w:r w:rsidRPr="00646AA1">
        <w:t>711</w:t>
      </w:r>
      <w:r w:rsidR="006E4A60" w:rsidRPr="00646AA1">
        <w:br/>
        <w:t>(38 750 x 12/52 x 5)</w:t>
      </w:r>
    </w:p>
    <w:p w:rsidR="006E4A60" w:rsidRPr="00646AA1" w:rsidRDefault="006E4A60">
      <w:r w:rsidRPr="00646AA1">
        <w:t xml:space="preserve">Gross amount in June: </w:t>
      </w:r>
      <w:r w:rsidRPr="00646AA1">
        <w:tab/>
      </w:r>
      <w:r w:rsidRPr="00646AA1">
        <w:tab/>
      </w:r>
      <w:r w:rsidRPr="00646AA1">
        <w:tab/>
      </w:r>
      <w:r w:rsidRPr="00646AA1">
        <w:tab/>
      </w:r>
      <w:r w:rsidRPr="00646AA1">
        <w:tab/>
      </w:r>
      <w:r w:rsidRPr="00646AA1">
        <w:tab/>
      </w:r>
      <w:r w:rsidRPr="00646AA1">
        <w:tab/>
      </w:r>
      <w:r w:rsidRPr="00646AA1">
        <w:tab/>
      </w:r>
      <w:r w:rsidRPr="00646AA1">
        <w:tab/>
        <w:t>48 129</w:t>
      </w:r>
    </w:p>
    <w:p w:rsidR="00FE0BC9" w:rsidRPr="005C7CDC" w:rsidRDefault="005C7CDC">
      <w:r>
        <w:t>Holiday pay in</w:t>
      </w:r>
      <w:r w:rsidRPr="005C7CDC">
        <w:t xml:space="preserve"> </w:t>
      </w:r>
      <w:r w:rsidR="006E4A60" w:rsidRPr="005C7CDC">
        <w:t>June (holiday pay basis 450 751 x 12% = 54</w:t>
      </w:r>
      <w:r>
        <w:t> </w:t>
      </w:r>
      <w:r w:rsidR="006E4A60" w:rsidRPr="005C7CDC">
        <w:t>090</w:t>
      </w:r>
      <w:r>
        <w:t>.</w:t>
      </w:r>
      <w:r w:rsidR="006E4A60" w:rsidRPr="005C7CDC">
        <w:t>20), deduction 5 weeks = 44</w:t>
      </w:r>
      <w:r w:rsidR="00F72D33">
        <w:t> </w:t>
      </w:r>
      <w:r w:rsidR="006E4A60" w:rsidRPr="005C7CDC">
        <w:t>711</w:t>
      </w:r>
      <w:r w:rsidR="00F72D33">
        <w:t>.</w:t>
      </w:r>
      <w:r w:rsidR="006E4A60" w:rsidRPr="005C7CDC">
        <w:t>53</w:t>
      </w:r>
    </w:p>
    <w:p w:rsidR="006E4A60" w:rsidRPr="00646AA1" w:rsidRDefault="006E4A60" w:rsidP="009E1031">
      <w:pPr>
        <w:ind w:left="-567"/>
      </w:pPr>
      <w:r w:rsidRPr="00646AA1">
        <w:rPr>
          <w:noProof/>
          <w:lang w:val="nb-NO" w:eastAsia="nb-NO"/>
        </w:rPr>
        <w:drawing>
          <wp:inline distT="0" distB="0" distL="0" distR="0" wp14:anchorId="0217607A">
            <wp:extent cx="6877050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A60" w:rsidRPr="00F72D33" w:rsidRDefault="006E4A60">
      <w:r w:rsidRPr="00F72D33">
        <w:t xml:space="preserve">12 months holiday earning and basis from December </w:t>
      </w:r>
      <w:r w:rsidR="00F72D33" w:rsidRPr="00F72D33">
        <w:t>pay</w:t>
      </w:r>
      <w:r w:rsidR="00F72D33">
        <w:t>slip</w:t>
      </w:r>
      <w:r w:rsidR="00F72D33" w:rsidRPr="00F72D33">
        <w:t xml:space="preserve"> </w:t>
      </w:r>
      <w:r w:rsidR="0016315A">
        <w:t>(2015</w:t>
      </w:r>
      <w:r w:rsidRPr="00F72D33">
        <w:t>):</w:t>
      </w:r>
    </w:p>
    <w:p w:rsidR="006E4A60" w:rsidRPr="00646AA1" w:rsidRDefault="006E4A60">
      <w:r w:rsidRPr="00646AA1">
        <w:rPr>
          <w:noProof/>
          <w:lang w:val="nb-NO" w:eastAsia="nb-NO"/>
        </w:rPr>
        <w:drawing>
          <wp:inline distT="0" distB="0" distL="0" distR="0" wp14:anchorId="59F77494">
            <wp:extent cx="3657600" cy="621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A60" w:rsidRPr="005C7CDC" w:rsidRDefault="006E4A60"/>
    <w:p w:rsidR="006E4A60" w:rsidRPr="002B28C2" w:rsidRDefault="006E4A60">
      <w:pPr>
        <w:rPr>
          <w:u w:val="single"/>
        </w:rPr>
      </w:pPr>
      <w:r w:rsidRPr="002B28C2">
        <w:rPr>
          <w:u w:val="single"/>
        </w:rPr>
        <w:t xml:space="preserve">Employees </w:t>
      </w:r>
      <w:r w:rsidR="005C7CDC" w:rsidRPr="002B28C2">
        <w:rPr>
          <w:u w:val="single"/>
        </w:rPr>
        <w:t xml:space="preserve">over </w:t>
      </w:r>
      <w:r w:rsidRPr="002B28C2">
        <w:rPr>
          <w:u w:val="single"/>
        </w:rPr>
        <w:t>60 years</w:t>
      </w:r>
      <w:r w:rsidR="005C7CDC" w:rsidRPr="002B28C2">
        <w:rPr>
          <w:u w:val="single"/>
        </w:rPr>
        <w:t xml:space="preserve"> old</w:t>
      </w:r>
      <w:r w:rsidRPr="002B28C2">
        <w:rPr>
          <w:u w:val="single"/>
        </w:rPr>
        <w:t>:</w:t>
      </w:r>
    </w:p>
    <w:p w:rsidR="00F72D33" w:rsidRDefault="006E4A60" w:rsidP="009E1031">
      <w:pPr>
        <w:jc w:val="both"/>
      </w:pPr>
      <w:r w:rsidRPr="005C7CDC">
        <w:t xml:space="preserve">Persons older than 60 years or who </w:t>
      </w:r>
      <w:r w:rsidR="00F72D33">
        <w:t xml:space="preserve">fill </w:t>
      </w:r>
      <w:r w:rsidRPr="005C7CDC">
        <w:t>60 years</w:t>
      </w:r>
      <w:r w:rsidR="00F72D33">
        <w:t xml:space="preserve"> </w:t>
      </w:r>
      <w:r w:rsidRPr="005C7CDC">
        <w:t xml:space="preserve">during the holiday year </w:t>
      </w:r>
      <w:r w:rsidR="005C7CDC">
        <w:t>are</w:t>
      </w:r>
      <w:r w:rsidRPr="005C7CDC">
        <w:t xml:space="preserve"> entitled to an extra week’s vacation. Thus 14</w:t>
      </w:r>
      <w:r w:rsidR="005C7CDC">
        <w:t>.</w:t>
      </w:r>
      <w:r w:rsidRPr="005C7CDC">
        <w:t xml:space="preserve">3% of the holiday pay earned </w:t>
      </w:r>
      <w:r w:rsidR="00F72D33">
        <w:t xml:space="preserve">in the </w:t>
      </w:r>
      <w:r w:rsidRPr="005C7CDC">
        <w:t xml:space="preserve">previous year </w:t>
      </w:r>
      <w:proofErr w:type="gramStart"/>
      <w:r w:rsidRPr="005C7CDC">
        <w:t>is paid out</w:t>
      </w:r>
      <w:proofErr w:type="gramEnd"/>
      <w:r w:rsidRPr="005C7CDC">
        <w:t xml:space="preserve"> and the number of vacation weeks deducted will be 6 weeks in June.</w:t>
      </w:r>
    </w:p>
    <w:p w:rsidR="006E4A60" w:rsidRPr="00F72D33" w:rsidRDefault="006E4A60" w:rsidP="009E1031">
      <w:pPr>
        <w:jc w:val="both"/>
      </w:pPr>
      <w:r w:rsidRPr="005C7CDC">
        <w:t xml:space="preserve">(Senior days are not vacation days and </w:t>
      </w:r>
      <w:proofErr w:type="gramStart"/>
      <w:r w:rsidR="005C7CDC">
        <w:t>are</w:t>
      </w:r>
      <w:r w:rsidRPr="005C7CDC">
        <w:t xml:space="preserve"> deducted</w:t>
      </w:r>
      <w:proofErr w:type="gramEnd"/>
      <w:r w:rsidRPr="005C7CDC">
        <w:t xml:space="preserve"> on a separate code in </w:t>
      </w:r>
      <w:proofErr w:type="spellStart"/>
      <w:r w:rsidRPr="005C7CDC">
        <w:t>Paga</w:t>
      </w:r>
      <w:proofErr w:type="spellEnd"/>
      <w:r w:rsidRPr="005C7CDC">
        <w:t xml:space="preserve"> Web – this must be followed up locally)</w:t>
      </w:r>
      <w:r w:rsidR="00F72D33">
        <w:t>.</w:t>
      </w:r>
    </w:p>
    <w:p w:rsidR="006E4A60" w:rsidRPr="00F72D33" w:rsidRDefault="006E4A60"/>
    <w:p w:rsidR="006E4A60" w:rsidRPr="002B28C2" w:rsidRDefault="006E4A60" w:rsidP="00203161">
      <w:pPr>
        <w:keepNext/>
        <w:rPr>
          <w:u w:val="single"/>
        </w:rPr>
      </w:pPr>
      <w:r w:rsidRPr="002B28C2">
        <w:rPr>
          <w:u w:val="single"/>
        </w:rPr>
        <w:lastRenderedPageBreak/>
        <w:t xml:space="preserve">Change in </w:t>
      </w:r>
      <w:r w:rsidR="00CD0210" w:rsidRPr="002B28C2">
        <w:rPr>
          <w:u w:val="single"/>
        </w:rPr>
        <w:t>full-time/part-time employment:</w:t>
      </w:r>
    </w:p>
    <w:p w:rsidR="00B11A8F" w:rsidRPr="00646AA1" w:rsidRDefault="00B11A8F" w:rsidP="009E1031">
      <w:pPr>
        <w:jc w:val="both"/>
      </w:pPr>
      <w:r w:rsidRPr="00646AA1">
        <w:t>Persons with a higher percentage of employment in June thi</w:t>
      </w:r>
      <w:r w:rsidR="0016315A">
        <w:t>s year than the average for 2015</w:t>
      </w:r>
      <w:r w:rsidRPr="00646AA1">
        <w:t xml:space="preserve">, will be deducted any negative holiday pay </w:t>
      </w:r>
      <w:r w:rsidR="005C7CDC">
        <w:t>supplement,</w:t>
      </w:r>
      <w:r w:rsidRPr="005C7CDC">
        <w:t xml:space="preserve"> as the cost of vacation days in a higher percentage of employment is more expensive. The alternative is to reduce</w:t>
      </w:r>
      <w:r w:rsidRPr="00646AA1">
        <w:t xml:space="preserve"> the number of vacation days.</w:t>
      </w:r>
    </w:p>
    <w:p w:rsidR="00B11A8F" w:rsidRPr="00934D08" w:rsidRDefault="00B11A8F" w:rsidP="009E1031">
      <w:pPr>
        <w:jc w:val="both"/>
        <w:rPr>
          <w:u w:val="single"/>
        </w:rPr>
      </w:pPr>
      <w:r w:rsidRPr="00934D08">
        <w:rPr>
          <w:u w:val="single"/>
        </w:rPr>
        <w:t xml:space="preserve">New employees or employees without full vacation </w:t>
      </w:r>
      <w:proofErr w:type="gramStart"/>
      <w:r w:rsidRPr="00934D08">
        <w:rPr>
          <w:u w:val="single"/>
        </w:rPr>
        <w:t>days</w:t>
      </w:r>
      <w:proofErr w:type="gramEnd"/>
      <w:r w:rsidRPr="00934D08">
        <w:rPr>
          <w:u w:val="single"/>
        </w:rPr>
        <w:t xml:space="preserve"> earnings in </w:t>
      </w:r>
      <w:r w:rsidR="00A11B19">
        <w:rPr>
          <w:u w:val="single"/>
        </w:rPr>
        <w:t>2015</w:t>
      </w:r>
      <w:r w:rsidRPr="00934D08">
        <w:rPr>
          <w:u w:val="single"/>
        </w:rPr>
        <w:t xml:space="preserve"> who w</w:t>
      </w:r>
      <w:r w:rsidR="00E52F10" w:rsidRPr="00934D08">
        <w:rPr>
          <w:u w:val="single"/>
        </w:rPr>
        <w:t>ould like to take</w:t>
      </w:r>
      <w:r w:rsidRPr="00934D08">
        <w:rPr>
          <w:u w:val="single"/>
        </w:rPr>
        <w:t xml:space="preserve"> vacation</w:t>
      </w:r>
    </w:p>
    <w:p w:rsidR="009457C3" w:rsidRPr="00E52F10" w:rsidRDefault="00B11A8F" w:rsidP="009E1031">
      <w:pPr>
        <w:jc w:val="both"/>
      </w:pPr>
      <w:r w:rsidRPr="00E52F10">
        <w:t>The</w:t>
      </w:r>
      <w:r w:rsidR="00E52F10">
        <w:t xml:space="preserve"> employee’s</w:t>
      </w:r>
      <w:r w:rsidRPr="00E52F10">
        <w:t xml:space="preserve"> personnel </w:t>
      </w:r>
      <w:r w:rsidR="00E52F10">
        <w:t xml:space="preserve">officer </w:t>
      </w:r>
      <w:r w:rsidR="00934D08">
        <w:t xml:space="preserve">or leader </w:t>
      </w:r>
      <w:r w:rsidRPr="00E52F10">
        <w:t xml:space="preserve">must notify the </w:t>
      </w:r>
      <w:r w:rsidR="009457C3" w:rsidRPr="00E52F10">
        <w:t>Payroll S</w:t>
      </w:r>
      <w:r w:rsidRPr="00E52F10">
        <w:t xml:space="preserve">ection </w:t>
      </w:r>
      <w:r w:rsidR="00E52F10">
        <w:t>by</w:t>
      </w:r>
      <w:r w:rsidRPr="00E52F10">
        <w:t xml:space="preserve"> email </w:t>
      </w:r>
      <w:r w:rsidR="00E52F10">
        <w:t xml:space="preserve">on </w:t>
      </w:r>
      <w:r w:rsidRPr="00E52F10">
        <w:t xml:space="preserve">the number of vacation days </w:t>
      </w:r>
      <w:r w:rsidR="00E52F10">
        <w:t>requested</w:t>
      </w:r>
      <w:r w:rsidR="00934D08">
        <w:t xml:space="preserve"> (does not apply for vacation days that the Payroll Section are already aware of through the forms sent out in May concerning employees without full vacation days earnings)</w:t>
      </w:r>
      <w:r w:rsidR="009457C3" w:rsidRPr="00E52F10">
        <w:t xml:space="preserve">. The Payroll Section will deduct the number of days from the salary and </w:t>
      </w:r>
      <w:r w:rsidR="00E52F10">
        <w:t>amend</w:t>
      </w:r>
      <w:r w:rsidR="009457C3" w:rsidRPr="00E52F10">
        <w:t xml:space="preserve"> the vacation account in </w:t>
      </w:r>
      <w:proofErr w:type="spellStart"/>
      <w:r w:rsidR="009457C3" w:rsidRPr="00E52F10">
        <w:t>Paga</w:t>
      </w:r>
      <w:proofErr w:type="spellEnd"/>
      <w:r w:rsidR="009457C3" w:rsidRPr="00E52F10">
        <w:t xml:space="preserve"> with the correct number of days.</w:t>
      </w:r>
    </w:p>
    <w:p w:rsidR="009457C3" w:rsidRDefault="009457C3" w:rsidP="009E1031">
      <w:pPr>
        <w:jc w:val="both"/>
      </w:pPr>
      <w:r w:rsidRPr="00646AA1">
        <w:t xml:space="preserve">All employees have a duty to register their vacation in </w:t>
      </w:r>
      <w:proofErr w:type="spellStart"/>
      <w:r w:rsidRPr="00646AA1">
        <w:t>Paga</w:t>
      </w:r>
      <w:proofErr w:type="spellEnd"/>
      <w:r w:rsidRPr="00646AA1">
        <w:t xml:space="preserve"> Web.</w:t>
      </w:r>
    </w:p>
    <w:p w:rsidR="00934D08" w:rsidRPr="00934D08" w:rsidRDefault="00934D08" w:rsidP="009E1031">
      <w:pPr>
        <w:jc w:val="both"/>
        <w:rPr>
          <w:u w:val="single"/>
        </w:rPr>
      </w:pPr>
      <w:r w:rsidRPr="00934D08">
        <w:rPr>
          <w:u w:val="single"/>
        </w:rPr>
        <w:t>New Certificate of pay and tax deducted (“</w:t>
      </w:r>
      <w:proofErr w:type="spellStart"/>
      <w:r w:rsidRPr="00934D08">
        <w:rPr>
          <w:u w:val="single"/>
        </w:rPr>
        <w:t>Årsoppgave</w:t>
      </w:r>
      <w:proofErr w:type="spellEnd"/>
      <w:r w:rsidRPr="00934D08">
        <w:rPr>
          <w:u w:val="single"/>
        </w:rPr>
        <w:t>”) from 2015:</w:t>
      </w:r>
    </w:p>
    <w:p w:rsidR="00934D08" w:rsidRDefault="008C7530" w:rsidP="009E1031">
      <w:pPr>
        <w:jc w:val="both"/>
      </w:pPr>
      <w:r>
        <w:t>After the implementation of the “</w:t>
      </w:r>
      <w:hyperlink r:id="rId7" w:history="1">
        <w:r w:rsidRPr="008C7530">
          <w:rPr>
            <w:rStyle w:val="Hyperkobling"/>
          </w:rPr>
          <w:t>A-</w:t>
        </w:r>
        <w:proofErr w:type="spellStart"/>
        <w:r w:rsidRPr="008C7530">
          <w:rPr>
            <w:rStyle w:val="Hyperkobling"/>
          </w:rPr>
          <w:t>Ordningen</w:t>
        </w:r>
        <w:proofErr w:type="spellEnd"/>
      </w:hyperlink>
      <w:r>
        <w:t xml:space="preserve">” 01.01.2015, the Certificate of pay and tax deducted that is sent to employees was changes. The Certificate from </w:t>
      </w:r>
      <w:proofErr w:type="spellStart"/>
      <w:r>
        <w:t>Paga</w:t>
      </w:r>
      <w:proofErr w:type="spellEnd"/>
      <w:r>
        <w:t xml:space="preserve"> (</w:t>
      </w:r>
      <w:proofErr w:type="spellStart"/>
      <w:r>
        <w:t>Bluegarden</w:t>
      </w:r>
      <w:proofErr w:type="spellEnd"/>
      <w:r>
        <w:t>) was changes on The Norwegian Tax Administration’s (“</w:t>
      </w:r>
      <w:proofErr w:type="spellStart"/>
      <w:r>
        <w:t>Skatteetaten</w:t>
      </w:r>
      <w:proofErr w:type="spellEnd"/>
      <w:r>
        <w:t xml:space="preserve">”) recommendations, but the text can easily be </w:t>
      </w:r>
      <w:r w:rsidRPr="008C7530">
        <w:rPr>
          <w:i/>
        </w:rPr>
        <w:t>misunderstood</w:t>
      </w:r>
      <w:r>
        <w:t>. On the Certificate is shown “Calculated holiday pay for payment next year” (“</w:t>
      </w:r>
      <w:proofErr w:type="spellStart"/>
      <w:r>
        <w:t>feriepenger</w:t>
      </w:r>
      <w:proofErr w:type="spellEnd"/>
      <w:r>
        <w:t xml:space="preserve"> </w:t>
      </w:r>
      <w:proofErr w:type="spellStart"/>
      <w:r>
        <w:t>beregnet</w:t>
      </w:r>
      <w:proofErr w:type="spellEnd"/>
      <w:r>
        <w:t xml:space="preserve"> for </w:t>
      </w:r>
      <w:proofErr w:type="spellStart"/>
      <w:r>
        <w:t>utbetaling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år</w:t>
      </w:r>
      <w:proofErr w:type="spellEnd"/>
      <w:r>
        <w:t>”), see example below. This amount is 12 % (14</w:t>
      </w:r>
      <w:proofErr w:type="gramStart"/>
      <w:r>
        <w:t>,3</w:t>
      </w:r>
      <w:proofErr w:type="gramEnd"/>
      <w:r>
        <w:t xml:space="preserve"> % for employees </w:t>
      </w:r>
      <w:r w:rsidR="00A274CD">
        <w:t>older than 60 years) of the holiday pay basis (“</w:t>
      </w:r>
      <w:proofErr w:type="spellStart"/>
      <w:r w:rsidR="00A274CD">
        <w:t>feriepengegrunnlag</w:t>
      </w:r>
      <w:proofErr w:type="spellEnd"/>
      <w:r w:rsidR="00A274CD">
        <w:t xml:space="preserve">”) in 2015, and it is not the amount that the employee will receive on the June salary in 2016 (see calculations in the example above). </w:t>
      </w:r>
    </w:p>
    <w:p w:rsidR="00A274CD" w:rsidRPr="00646AA1" w:rsidRDefault="00A274CD" w:rsidP="009E1031">
      <w:pPr>
        <w:jc w:val="both"/>
      </w:pPr>
      <w:r>
        <w:rPr>
          <w:noProof/>
          <w:lang w:val="nb-NO" w:eastAsia="nb-NO"/>
        </w:rPr>
        <w:drawing>
          <wp:inline distT="0" distB="0" distL="0" distR="0" wp14:anchorId="2E229ABD">
            <wp:extent cx="4349342" cy="4257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31" cy="425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210" w:rsidRPr="00646AA1" w:rsidRDefault="009457C3">
      <w:r w:rsidRPr="00646AA1">
        <w:lastRenderedPageBreak/>
        <w:t xml:space="preserve">Kind </w:t>
      </w:r>
      <w:r w:rsidR="00F72D33" w:rsidRPr="00646AA1">
        <w:t>regards from</w:t>
      </w:r>
      <w:r w:rsidRPr="00646AA1">
        <w:t xml:space="preserve"> the Payroll Section</w:t>
      </w:r>
    </w:p>
    <w:tbl>
      <w:tblPr>
        <w:tblW w:w="81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200"/>
        <w:gridCol w:w="2180"/>
        <w:gridCol w:w="1200"/>
        <w:gridCol w:w="1200"/>
      </w:tblGrid>
      <w:tr w:rsidR="009457C3" w:rsidRPr="00646AA1" w:rsidTr="009312E1">
        <w:trPr>
          <w:trHeight w:val="300"/>
        </w:trPr>
        <w:tc>
          <w:tcPr>
            <w:tcW w:w="23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AF2A62" w:rsidP="009457C3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  <w:lang w:eastAsia="nb-NO"/>
              </w:rPr>
            </w:pPr>
            <w:hyperlink r:id="rId9" w:history="1">
              <w:r w:rsidR="009457C3" w:rsidRPr="00646AA1">
                <w:rPr>
                  <w:rFonts w:ascii="Calibri" w:hAnsi="Calibri" w:cs="Times New Roman"/>
                  <w:color w:val="0000FF"/>
                  <w:u w:val="single"/>
                  <w:lang w:eastAsia="nb-NO"/>
                </w:rPr>
                <w:t>Jeremiassen, Line Bøe</w:t>
              </w:r>
            </w:hyperlink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67230603</w:t>
            </w:r>
          </w:p>
        </w:tc>
        <w:tc>
          <w:tcPr>
            <w:tcW w:w="2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Head of section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Payroll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</w:p>
        </w:tc>
      </w:tr>
      <w:tr w:rsidR="009457C3" w:rsidRPr="00646AA1" w:rsidTr="009312E1">
        <w:trPr>
          <w:trHeight w:val="300"/>
        </w:trPr>
        <w:tc>
          <w:tcPr>
            <w:tcW w:w="23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AF2A62" w:rsidP="009457C3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  <w:lang w:eastAsia="nb-NO"/>
              </w:rPr>
            </w:pPr>
            <w:hyperlink r:id="rId10" w:history="1">
              <w:r w:rsidR="009457C3" w:rsidRPr="00646AA1">
                <w:rPr>
                  <w:rFonts w:ascii="Calibri" w:hAnsi="Calibri" w:cs="Times New Roman"/>
                  <w:color w:val="0000FF"/>
                  <w:u w:val="single"/>
                  <w:lang w:eastAsia="nb-NO"/>
                </w:rPr>
                <w:t>Berg, Kirsten Ranheim</w:t>
              </w:r>
            </w:hyperlink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67230608</w:t>
            </w:r>
          </w:p>
        </w:tc>
        <w:tc>
          <w:tcPr>
            <w:tcW w:w="2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Payroll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</w:p>
        </w:tc>
      </w:tr>
      <w:tr w:rsidR="009457C3" w:rsidRPr="00646AA1" w:rsidTr="009312E1">
        <w:trPr>
          <w:trHeight w:val="300"/>
        </w:trPr>
        <w:tc>
          <w:tcPr>
            <w:tcW w:w="238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AF2A62" w:rsidP="009457C3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  <w:lang w:eastAsia="nb-NO"/>
              </w:rPr>
            </w:pPr>
            <w:hyperlink r:id="rId11" w:history="1">
              <w:r w:rsidR="009457C3" w:rsidRPr="00646AA1">
                <w:rPr>
                  <w:rFonts w:ascii="Calibri" w:hAnsi="Calibri" w:cs="Times New Roman"/>
                  <w:color w:val="0000FF"/>
                  <w:u w:val="single"/>
                  <w:lang w:eastAsia="nb-NO"/>
                </w:rPr>
                <w:t>Johannessen, Johnny</w:t>
              </w:r>
            </w:hyperlink>
          </w:p>
        </w:tc>
        <w:tc>
          <w:tcPr>
            <w:tcW w:w="120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67230606</w:t>
            </w:r>
          </w:p>
        </w:tc>
        <w:tc>
          <w:tcPr>
            <w:tcW w:w="218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Payroll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</w:p>
        </w:tc>
      </w:tr>
      <w:tr w:rsidR="009457C3" w:rsidRPr="00646AA1" w:rsidTr="009312E1">
        <w:trPr>
          <w:trHeight w:val="300"/>
        </w:trPr>
        <w:tc>
          <w:tcPr>
            <w:tcW w:w="23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AF2A62" w:rsidP="009457C3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  <w:lang w:eastAsia="nb-NO"/>
              </w:rPr>
            </w:pPr>
            <w:hyperlink r:id="rId12" w:history="1">
              <w:r w:rsidR="009457C3" w:rsidRPr="00646AA1">
                <w:rPr>
                  <w:rFonts w:ascii="Calibri" w:hAnsi="Calibri" w:cs="Times New Roman"/>
                  <w:color w:val="0000FF"/>
                  <w:u w:val="single"/>
                  <w:lang w:eastAsia="nb-NO"/>
                </w:rPr>
                <w:t>Nerdrum, Margareth</w:t>
              </w:r>
            </w:hyperlink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lang w:eastAsia="en-GB"/>
              </w:rPr>
              <w:t>67230625</w:t>
            </w:r>
          </w:p>
        </w:tc>
        <w:tc>
          <w:tcPr>
            <w:tcW w:w="2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Payroll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</w:p>
        </w:tc>
      </w:tr>
      <w:tr w:rsidR="009457C3" w:rsidRPr="00646AA1" w:rsidTr="009312E1">
        <w:trPr>
          <w:trHeight w:val="600"/>
        </w:trPr>
        <w:tc>
          <w:tcPr>
            <w:tcW w:w="23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AF2A62" w:rsidP="009457C3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  <w:lang w:eastAsia="nb-NO"/>
              </w:rPr>
            </w:pPr>
            <w:hyperlink r:id="rId13" w:history="1">
              <w:r w:rsidR="009457C3" w:rsidRPr="00646AA1">
                <w:rPr>
                  <w:rFonts w:ascii="Calibri" w:hAnsi="Calibri" w:cs="Times New Roman"/>
                  <w:color w:val="0000FF"/>
                  <w:u w:val="single"/>
                  <w:lang w:eastAsia="nb-NO"/>
                </w:rPr>
                <w:t>Pedersen, Janne Elisabeth</w:t>
              </w:r>
            </w:hyperlink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67230609</w:t>
            </w:r>
          </w:p>
        </w:tc>
        <w:tc>
          <w:tcPr>
            <w:tcW w:w="21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Payroll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</w:p>
        </w:tc>
      </w:tr>
      <w:tr w:rsidR="009457C3" w:rsidRPr="00646AA1" w:rsidTr="009312E1">
        <w:trPr>
          <w:trHeight w:val="300"/>
        </w:trPr>
        <w:tc>
          <w:tcPr>
            <w:tcW w:w="238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AF2A62" w:rsidP="009457C3">
            <w:pPr>
              <w:spacing w:after="0" w:line="240" w:lineRule="auto"/>
              <w:rPr>
                <w:rFonts w:ascii="Calibri" w:hAnsi="Calibri" w:cs="Times New Roman"/>
                <w:color w:val="0000FF"/>
                <w:u w:val="single"/>
                <w:lang w:eastAsia="nb-NO"/>
              </w:rPr>
            </w:pPr>
            <w:hyperlink r:id="rId14" w:history="1">
              <w:r w:rsidR="009457C3" w:rsidRPr="00646AA1">
                <w:rPr>
                  <w:rFonts w:ascii="Calibri" w:hAnsi="Calibri" w:cs="Times New Roman"/>
                  <w:color w:val="0000FF"/>
                  <w:u w:val="single"/>
                  <w:lang w:eastAsia="nb-NO"/>
                </w:rPr>
                <w:t>Setten, Harald</w:t>
              </w:r>
            </w:hyperlink>
          </w:p>
        </w:tc>
        <w:tc>
          <w:tcPr>
            <w:tcW w:w="120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67230611</w:t>
            </w:r>
          </w:p>
        </w:tc>
        <w:tc>
          <w:tcPr>
            <w:tcW w:w="218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shd w:val="clear" w:color="auto" w:fill="D1E8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  <w:r w:rsidRPr="00646AA1">
              <w:rPr>
                <w:rFonts w:ascii="Calibri" w:hAnsi="Calibri" w:cs="Times New Roman"/>
                <w:color w:val="000000"/>
                <w:lang w:eastAsia="nb-NO"/>
              </w:rPr>
              <w:t>Payroll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57C3" w:rsidRPr="00646AA1" w:rsidRDefault="009457C3" w:rsidP="009457C3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nb-NO"/>
              </w:rPr>
            </w:pPr>
          </w:p>
        </w:tc>
      </w:tr>
    </w:tbl>
    <w:p w:rsidR="00A274CD" w:rsidRDefault="00AF2A62" w:rsidP="00A274CD">
      <w:pPr>
        <w:shd w:val="clear" w:color="auto" w:fill="FFFFFF"/>
        <w:rPr>
          <w:rFonts w:ascii="Lyon Regular" w:hAnsi="Lyon Regular"/>
          <w:color w:val="333333"/>
          <w:lang w:val="nb-NO"/>
        </w:rPr>
      </w:pPr>
      <w:hyperlink r:id="rId15" w:history="1">
        <w:r w:rsidR="00A274CD">
          <w:rPr>
            <w:rStyle w:val="Hyperkobling"/>
            <w:rFonts w:ascii="Lyon Regular" w:hAnsi="Lyon Regular"/>
            <w:lang w:val="nb-NO"/>
          </w:rPr>
          <w:t xml:space="preserve">Mai Britt </w:t>
        </w:r>
        <w:proofErr w:type="gramStart"/>
        <w:r w:rsidR="00A274CD">
          <w:rPr>
            <w:rStyle w:val="Hyperkobling"/>
            <w:rFonts w:ascii="Lyon Regular" w:hAnsi="Lyon Regular"/>
            <w:lang w:val="nb-NO"/>
          </w:rPr>
          <w:t>Wiig</w:t>
        </w:r>
      </w:hyperlink>
      <w:r w:rsidR="00A274CD">
        <w:rPr>
          <w:rFonts w:ascii="Lyon Regular" w:hAnsi="Lyon Regular"/>
          <w:color w:val="333333"/>
          <w:lang w:val="nb-NO"/>
        </w:rPr>
        <w:t xml:space="preserve">  </w:t>
      </w:r>
      <w:hyperlink r:id="rId16" w:history="1">
        <w:r w:rsidR="00A274CD">
          <w:rPr>
            <w:rStyle w:val="Hyperkobling"/>
            <w:rFonts w:ascii="Lyon Regular" w:hAnsi="Lyon Regular"/>
            <w:lang w:val="nb-NO"/>
          </w:rPr>
          <w:t>+</w:t>
        </w:r>
        <w:proofErr w:type="gramEnd"/>
        <w:r w:rsidR="00A274CD">
          <w:rPr>
            <w:rStyle w:val="Hyperkobling"/>
            <w:rFonts w:ascii="Lyon Regular" w:hAnsi="Lyon Regular"/>
            <w:lang w:val="nb-NO"/>
          </w:rPr>
          <w:t>4767230630</w:t>
        </w:r>
      </w:hyperlink>
    </w:p>
    <w:p w:rsidR="009457C3" w:rsidRPr="00646AA1" w:rsidRDefault="00203161">
      <w:r w:rsidRPr="00646AA1">
        <w:br/>
      </w:r>
    </w:p>
    <w:sectPr w:rsidR="009457C3" w:rsidRPr="00646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yo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C9"/>
    <w:rsid w:val="000B51BD"/>
    <w:rsid w:val="0016315A"/>
    <w:rsid w:val="00203161"/>
    <w:rsid w:val="002B28C2"/>
    <w:rsid w:val="005C7CDC"/>
    <w:rsid w:val="00646AA1"/>
    <w:rsid w:val="00675899"/>
    <w:rsid w:val="006E4A60"/>
    <w:rsid w:val="008C7530"/>
    <w:rsid w:val="00934D08"/>
    <w:rsid w:val="009457C3"/>
    <w:rsid w:val="009B5411"/>
    <w:rsid w:val="009E1031"/>
    <w:rsid w:val="00A02A3E"/>
    <w:rsid w:val="00A10EE3"/>
    <w:rsid w:val="00A11B19"/>
    <w:rsid w:val="00A274CD"/>
    <w:rsid w:val="00A8178F"/>
    <w:rsid w:val="00AB7E2C"/>
    <w:rsid w:val="00AF2A62"/>
    <w:rsid w:val="00B11A8F"/>
    <w:rsid w:val="00C4471B"/>
    <w:rsid w:val="00CD0210"/>
    <w:rsid w:val="00D049B1"/>
    <w:rsid w:val="00E52F10"/>
    <w:rsid w:val="00F72D3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21A2-4943-4ACD-9BA4-3A15BFE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3161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mb.no/okonomi/ansatte/janne.peders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tinn.no/en/a-ordningen/" TargetMode="External"/><Relationship Id="rId12" Type="http://schemas.openxmlformats.org/officeDocument/2006/relationships/hyperlink" Target="http://www.umb.no/okonomi/ansatte/margareth.nerdr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476723063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umb.no/okonomi/ansatte/jonny.johanness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mbu.no/user/9346" TargetMode="External"/><Relationship Id="rId10" Type="http://schemas.openxmlformats.org/officeDocument/2006/relationships/hyperlink" Target="http://www.umb.no/okonomi/ansatte/kirsten_ranheim.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b.no/okonomi/ansatte/line_boe.jeremiassen" TargetMode="External"/><Relationship Id="rId14" Type="http://schemas.openxmlformats.org/officeDocument/2006/relationships/hyperlink" Target="http://www.umb.no/okonomi/ansatte/harald.set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4FD7-F749-4DCD-944F-8391F3DD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Margrethe Bakke</dc:creator>
  <cp:keywords/>
  <dc:description/>
  <cp:lastModifiedBy>Johnny Johannessen</cp:lastModifiedBy>
  <cp:revision>2</cp:revision>
  <dcterms:created xsi:type="dcterms:W3CDTF">2017-06-12T10:25:00Z</dcterms:created>
  <dcterms:modified xsi:type="dcterms:W3CDTF">2017-06-12T10:25:00Z</dcterms:modified>
</cp:coreProperties>
</file>