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48EE" w14:textId="7F992CD6" w:rsidR="00571A14" w:rsidRDefault="00571A14" w:rsidP="00571A14">
      <w:pPr>
        <w:autoSpaceDE w:val="0"/>
        <w:autoSpaceDN w:val="0"/>
        <w:adjustRightInd w:val="0"/>
        <w:spacing w:after="0" w:line="240" w:lineRule="auto"/>
        <w:rPr>
          <w:rFonts w:ascii="Times New Roman" w:hAnsi="Times New Roman" w:cs="Times New Roman"/>
          <w:sz w:val="44"/>
          <w:szCs w:val="44"/>
        </w:rPr>
      </w:pPr>
      <w:r w:rsidRPr="00571A14">
        <w:rPr>
          <w:rFonts w:ascii="Times New Roman" w:hAnsi="Times New Roman" w:cs="Times New Roman"/>
          <w:noProof/>
          <w:sz w:val="44"/>
          <w:szCs w:val="44"/>
        </w:rPr>
        <w:drawing>
          <wp:anchor distT="0" distB="0" distL="114300" distR="114300" simplePos="0" relativeHeight="251658240" behindDoc="0" locked="0" layoutInCell="1" allowOverlap="1" wp14:anchorId="35F9DB8A" wp14:editId="52F6E294">
            <wp:simplePos x="0" y="0"/>
            <wp:positionH relativeFrom="column">
              <wp:posOffset>5212080</wp:posOffset>
            </wp:positionH>
            <wp:positionV relativeFrom="paragraph">
              <wp:posOffset>0</wp:posOffset>
            </wp:positionV>
            <wp:extent cx="1180465" cy="11620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2FD3C" w14:textId="258CAEF8" w:rsidR="0038700F" w:rsidRDefault="00571A14" w:rsidP="00571A14">
      <w:pPr>
        <w:autoSpaceDE w:val="0"/>
        <w:autoSpaceDN w:val="0"/>
        <w:adjustRightInd w:val="0"/>
        <w:spacing w:after="0" w:line="240" w:lineRule="auto"/>
        <w:rPr>
          <w:rFonts w:ascii="Times New Roman" w:hAnsi="Times New Roman" w:cs="Times New Roman"/>
          <w:sz w:val="44"/>
          <w:szCs w:val="44"/>
        </w:rPr>
      </w:pPr>
      <w:r w:rsidRPr="00571A14">
        <w:rPr>
          <w:rFonts w:ascii="Times New Roman" w:hAnsi="Times New Roman" w:cs="Times New Roman"/>
          <w:sz w:val="44"/>
          <w:szCs w:val="44"/>
        </w:rPr>
        <w:t>2022 Annual evaluation of M-ECON, Master of Economics, School of Economics and Business</w:t>
      </w:r>
    </w:p>
    <w:p w14:paraId="212125EE" w14:textId="77777777" w:rsidR="00571A14" w:rsidRPr="00571A14" w:rsidRDefault="00571A14" w:rsidP="00571A14">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571A14" w:rsidRPr="00571A14" w14:paraId="03C36AD2" w14:textId="77777777" w:rsidTr="005646D4">
        <w:tc>
          <w:tcPr>
            <w:tcW w:w="9016" w:type="dxa"/>
            <w:shd w:val="clear" w:color="auto" w:fill="E2EFD9" w:themeFill="accent6" w:themeFillTint="33"/>
          </w:tcPr>
          <w:p w14:paraId="6E7E7109" w14:textId="07C11865" w:rsidR="00571A14" w:rsidRPr="00571A14" w:rsidRDefault="00571A14" w:rsidP="00571A14">
            <w:pPr>
              <w:autoSpaceDE w:val="0"/>
              <w:autoSpaceDN w:val="0"/>
              <w:adjustRightInd w:val="0"/>
              <w:rPr>
                <w:rFonts w:ascii="Times New Roman" w:hAnsi="Times New Roman" w:cs="Times New Roman"/>
                <w:sz w:val="24"/>
                <w:szCs w:val="24"/>
              </w:rPr>
            </w:pPr>
            <w:r w:rsidRPr="00571A14">
              <w:rPr>
                <w:rFonts w:ascii="Times New Roman" w:hAnsi="Times New Roman" w:cs="Times New Roman"/>
                <w:sz w:val="24"/>
                <w:szCs w:val="24"/>
              </w:rPr>
              <w:t>Database of the study program report:</w:t>
            </w:r>
          </w:p>
        </w:tc>
      </w:tr>
      <w:tr w:rsidR="00571A14" w:rsidRPr="00571A14" w14:paraId="5A253468" w14:textId="77777777" w:rsidTr="005646D4">
        <w:tc>
          <w:tcPr>
            <w:tcW w:w="9016" w:type="dxa"/>
            <w:shd w:val="clear" w:color="auto" w:fill="E2EFD9" w:themeFill="accent6" w:themeFillTint="33"/>
          </w:tcPr>
          <w:p w14:paraId="7AE5BA33" w14:textId="7D9F8717" w:rsidR="00571A14" w:rsidRPr="00571A14" w:rsidRDefault="00571A14"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most important data sources used in the evaluation of the program</w:t>
            </w:r>
          </w:p>
        </w:tc>
      </w:tr>
      <w:tr w:rsidR="00571A14" w:rsidRPr="00571A14" w14:paraId="3872C217" w14:textId="77777777" w:rsidTr="00571A14">
        <w:tc>
          <w:tcPr>
            <w:tcW w:w="9016" w:type="dxa"/>
          </w:tcPr>
          <w:sdt>
            <w:sdtPr>
              <w:rPr>
                <w:rFonts w:ascii="Arial" w:hAnsi="Arial" w:cs="Arial"/>
                <w:lang w:val="nb-NO"/>
              </w:rPr>
              <w:id w:val="-216598708"/>
              <w:placeholder>
                <w:docPart w:val="40972F8F46D244F1AB4B6A3704C52CD1"/>
              </w:placeholder>
            </w:sdtPr>
            <w:sdtEndPr>
              <w:rPr>
                <w:rFonts w:asciiTheme="minorHAnsi" w:hAnsiTheme="minorHAnsi" w:cstheme="minorBidi"/>
              </w:rPr>
            </w:sdtEndPr>
            <w:sdtContent>
              <w:p w14:paraId="720901E1" w14:textId="77777777" w:rsidR="005A7297" w:rsidRDefault="005A7297" w:rsidP="005A7297">
                <w:pPr>
                  <w:rPr>
                    <w:rFonts w:ascii="Arial" w:hAnsi="Arial" w:cs="Arial"/>
                  </w:rPr>
                </w:pPr>
              </w:p>
              <w:p w14:paraId="0A1573FC" w14:textId="2C7AF902" w:rsidR="005A7297" w:rsidRDefault="00F243CE" w:rsidP="005A7297">
                <w:pPr>
                  <w:rPr>
                    <w:rFonts w:ascii="Arial" w:hAnsi="Arial" w:cs="Arial"/>
                  </w:rPr>
                </w:pPr>
                <w:r>
                  <w:rPr>
                    <w:rFonts w:ascii="Arial" w:hAnsi="Arial" w:cs="Arial"/>
                  </w:rPr>
                  <w:t>The d</w:t>
                </w:r>
                <w:r w:rsidR="005A7297">
                  <w:rPr>
                    <w:rFonts w:ascii="Arial" w:hAnsi="Arial" w:cs="Arial"/>
                  </w:rPr>
                  <w:t>ata sources used in this report</w:t>
                </w:r>
                <w:r>
                  <w:rPr>
                    <w:rFonts w:ascii="Arial" w:hAnsi="Arial" w:cs="Arial"/>
                  </w:rPr>
                  <w:t xml:space="preserve"> were obtained from</w:t>
                </w:r>
                <w:r w:rsidR="005A7297">
                  <w:rPr>
                    <w:rFonts w:ascii="Arial" w:hAnsi="Arial" w:cs="Arial"/>
                  </w:rPr>
                  <w:t>:</w:t>
                </w:r>
              </w:p>
              <w:p w14:paraId="740F36E7" w14:textId="77777777" w:rsidR="005A7297" w:rsidRPr="00457785" w:rsidRDefault="005A7297" w:rsidP="005A7297">
                <w:pPr>
                  <w:rPr>
                    <w:rFonts w:ascii="Arial" w:hAnsi="Arial" w:cs="Arial"/>
                  </w:rPr>
                </w:pPr>
              </w:p>
              <w:p w14:paraId="06BA2A24" w14:textId="77777777" w:rsidR="005A7297" w:rsidRDefault="005A7297" w:rsidP="005A7297">
                <w:pPr>
                  <w:pStyle w:val="ListParagraph"/>
                  <w:numPr>
                    <w:ilvl w:val="0"/>
                    <w:numId w:val="1"/>
                  </w:numPr>
                  <w:ind w:hanging="250"/>
                  <w:rPr>
                    <w:rFonts w:ascii="Arial" w:hAnsi="Arial" w:cs="Arial"/>
                    <w:lang w:val="en-US"/>
                  </w:rPr>
                </w:pPr>
                <w:r>
                  <w:rPr>
                    <w:rFonts w:ascii="Arial" w:hAnsi="Arial" w:cs="Arial"/>
                    <w:lang w:val="en-US"/>
                  </w:rPr>
                  <w:t>Felles studentsystem, FS [Centralized student database]</w:t>
                </w:r>
              </w:p>
              <w:p w14:paraId="2EEF620C" w14:textId="77777777" w:rsidR="005A7297" w:rsidRDefault="005A7297" w:rsidP="005A7297">
                <w:pPr>
                  <w:pStyle w:val="ListParagraph"/>
                  <w:numPr>
                    <w:ilvl w:val="0"/>
                    <w:numId w:val="1"/>
                  </w:numPr>
                  <w:ind w:hanging="250"/>
                  <w:rPr>
                    <w:rFonts w:ascii="Arial" w:hAnsi="Arial" w:cs="Arial"/>
                    <w:lang w:val="en-US"/>
                  </w:rPr>
                </w:pPr>
                <w:r>
                  <w:rPr>
                    <w:rFonts w:ascii="Arial" w:hAnsi="Arial" w:cs="Arial"/>
                    <w:lang w:val="en-US"/>
                  </w:rPr>
                  <w:t>Studiebarometeret, 2021</w:t>
                </w:r>
              </w:p>
              <w:p w14:paraId="30913E54" w14:textId="77777777" w:rsidR="005A7297" w:rsidRDefault="005A7297" w:rsidP="005A7297">
                <w:pPr>
                  <w:pStyle w:val="ListParagraph"/>
                  <w:numPr>
                    <w:ilvl w:val="0"/>
                    <w:numId w:val="1"/>
                  </w:numPr>
                  <w:ind w:hanging="250"/>
                  <w:rPr>
                    <w:rFonts w:ascii="Arial" w:hAnsi="Arial" w:cs="Arial"/>
                    <w:lang w:val="en-US"/>
                  </w:rPr>
                </w:pPr>
                <w:r w:rsidRPr="00457785">
                  <w:rPr>
                    <w:rFonts w:ascii="Arial" w:hAnsi="Arial" w:cs="Arial"/>
                    <w:lang w:val="en-US"/>
                  </w:rPr>
                  <w:t>NMBU’s application database, 202</w:t>
                </w:r>
                <w:r>
                  <w:rPr>
                    <w:rFonts w:ascii="Arial" w:hAnsi="Arial" w:cs="Arial"/>
                    <w:lang w:val="en-US"/>
                  </w:rPr>
                  <w:t>1</w:t>
                </w:r>
              </w:p>
              <w:p w14:paraId="4F10D96F" w14:textId="04AF81F2" w:rsidR="005A7297" w:rsidRDefault="005A7297" w:rsidP="005A7297">
                <w:pPr>
                  <w:pStyle w:val="ListParagraph"/>
                  <w:numPr>
                    <w:ilvl w:val="0"/>
                    <w:numId w:val="1"/>
                  </w:numPr>
                  <w:ind w:hanging="250"/>
                </w:pPr>
                <w:r>
                  <w:rPr>
                    <w:rFonts w:ascii="Arial" w:hAnsi="Arial" w:cs="Arial"/>
                    <w:lang w:val="en-US"/>
                  </w:rPr>
                  <w:t>Annual report, 2021</w:t>
                </w:r>
                <w:r w:rsidR="00F243CE">
                  <w:rPr>
                    <w:rFonts w:ascii="Arial" w:hAnsi="Arial" w:cs="Arial"/>
                    <w:lang w:val="en-US"/>
                  </w:rPr>
                  <w:t>.</w:t>
                </w:r>
              </w:p>
            </w:sdtContent>
          </w:sdt>
          <w:p w14:paraId="6058599D" w14:textId="423BC586" w:rsidR="00571A14" w:rsidRPr="00571A14" w:rsidRDefault="00571A14" w:rsidP="00571A14">
            <w:pPr>
              <w:autoSpaceDE w:val="0"/>
              <w:autoSpaceDN w:val="0"/>
              <w:adjustRightInd w:val="0"/>
              <w:rPr>
                <w:rFonts w:ascii="Times New Roman" w:hAnsi="Times New Roman" w:cs="Times New Roman"/>
                <w:sz w:val="24"/>
                <w:szCs w:val="24"/>
              </w:rPr>
            </w:pPr>
          </w:p>
        </w:tc>
      </w:tr>
    </w:tbl>
    <w:p w14:paraId="450F207D" w14:textId="5D01F2CA" w:rsidR="00571A14" w:rsidRPr="00571A14" w:rsidRDefault="00571A14" w:rsidP="00571A14">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5646D4" w14:paraId="06B9B6E3" w14:textId="77777777" w:rsidTr="005646D4">
        <w:tc>
          <w:tcPr>
            <w:tcW w:w="9016" w:type="dxa"/>
            <w:shd w:val="clear" w:color="auto" w:fill="E2EFD9" w:themeFill="accent6" w:themeFillTint="33"/>
          </w:tcPr>
          <w:p w14:paraId="1BC2440F" w14:textId="65C4F9C3" w:rsidR="005646D4" w:rsidRDefault="005646D4"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Study quality status</w:t>
            </w:r>
          </w:p>
        </w:tc>
      </w:tr>
      <w:tr w:rsidR="005646D4" w14:paraId="1A3EB0AB" w14:textId="77777777" w:rsidTr="005646D4">
        <w:tc>
          <w:tcPr>
            <w:tcW w:w="9016" w:type="dxa"/>
            <w:shd w:val="clear" w:color="auto" w:fill="E2EFD9" w:themeFill="accent6" w:themeFillTint="33"/>
          </w:tcPr>
          <w:p w14:paraId="1DA9E83A" w14:textId="177DE48D" w:rsidR="005646D4" w:rsidRDefault="005646D4" w:rsidP="002720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Intake</w:t>
            </w:r>
            <w:r w:rsidR="0027202F">
              <w:rPr>
                <w:rFonts w:ascii="Times New Roman" w:hAnsi="Times New Roman" w:cs="Times New Roman"/>
                <w:sz w:val="24"/>
                <w:szCs w:val="24"/>
              </w:rPr>
              <w:t xml:space="preserve"> </w:t>
            </w:r>
            <w:r>
              <w:rPr>
                <w:rFonts w:ascii="Times New Roman" w:hAnsi="Times New Roman" w:cs="Times New Roman"/>
                <w:sz w:val="24"/>
                <w:szCs w:val="24"/>
              </w:rPr>
              <w:t>(Recruitment, information, admission and reception)</w:t>
            </w:r>
          </w:p>
        </w:tc>
      </w:tr>
      <w:tr w:rsidR="005646D4" w14:paraId="600222C8" w14:textId="77777777" w:rsidTr="001401A3">
        <w:tc>
          <w:tcPr>
            <w:tcW w:w="9016" w:type="dxa"/>
            <w:tcBorders>
              <w:bottom w:val="single" w:sz="4" w:space="0" w:color="auto"/>
            </w:tcBorders>
          </w:tcPr>
          <w:p w14:paraId="7E1103F8" w14:textId="77777777" w:rsidR="0027202F" w:rsidRDefault="0027202F" w:rsidP="00B351C5">
            <w:pPr>
              <w:rPr>
                <w:rFonts w:ascii="Arial" w:hAnsi="Arial" w:cs="Arial"/>
                <w:b/>
                <w:bCs/>
              </w:rPr>
            </w:pPr>
          </w:p>
          <w:p w14:paraId="06C9A3BC" w14:textId="703360AF" w:rsidR="00B351C5" w:rsidRDefault="00B351C5" w:rsidP="00B351C5">
            <w:pPr>
              <w:rPr>
                <w:rFonts w:ascii="Arial" w:hAnsi="Arial" w:cs="Arial"/>
              </w:rPr>
            </w:pPr>
            <w:r w:rsidRPr="00813D74">
              <w:rPr>
                <w:rFonts w:ascii="Arial" w:hAnsi="Arial" w:cs="Arial"/>
                <w:b/>
                <w:bCs/>
              </w:rPr>
              <w:t>Admissions</w:t>
            </w:r>
            <w:r w:rsidRPr="00CA38CC">
              <w:rPr>
                <w:rFonts w:ascii="Arial" w:hAnsi="Arial" w:cs="Arial"/>
              </w:rPr>
              <w:br/>
            </w:r>
          </w:p>
          <w:p w14:paraId="009B1162" w14:textId="77777777" w:rsidR="00B351C5" w:rsidRDefault="00B351C5" w:rsidP="00B351C5">
            <w:pPr>
              <w:rPr>
                <w:rFonts w:ascii="Arial" w:hAnsi="Arial" w:cs="Arial"/>
                <w:bCs/>
              </w:rPr>
            </w:pPr>
            <w:r>
              <w:rPr>
                <w:rFonts w:ascii="Arial" w:hAnsi="Arial" w:cs="Arial"/>
              </w:rPr>
              <w:t xml:space="preserve">Table 1 presents statistics on admissions. Reported are the number of applicants to NMBU who listed the M-ECON program as their first priority. While the total number of first-priority applicants has increased since 2019, the percentage of qualified first-priority applicants has decreased as a share of the total and in absolute numbers. This suggests that it continues to be a challenge to recruit enough of the better students. </w:t>
            </w:r>
            <w:r>
              <w:rPr>
                <w:rFonts w:ascii="Arial" w:hAnsi="Arial" w:cs="Arial"/>
                <w:bCs/>
              </w:rPr>
              <w:t xml:space="preserve">Despite the challenge of recruiting students during the pandemic period, the program has been able to maintain the number of study places at 23. However, </w:t>
            </w:r>
            <w:r>
              <w:rPr>
                <w:rFonts w:ascii="Arial" w:hAnsi="Arial" w:cs="Arial"/>
              </w:rPr>
              <w:t xml:space="preserve">the number of qualified applicants per place has fallen to below three, reflecting a lower degree of competition for entry into the program. </w:t>
            </w:r>
          </w:p>
          <w:p w14:paraId="57F684E9" w14:textId="77777777" w:rsidR="00B351C5" w:rsidRDefault="00B351C5" w:rsidP="00B351C5">
            <w:pPr>
              <w:rPr>
                <w:rFonts w:ascii="Arial" w:hAnsi="Arial" w:cs="Arial"/>
              </w:rPr>
            </w:pPr>
          </w:p>
          <w:p w14:paraId="2755D436" w14:textId="77777777" w:rsidR="00B351C5" w:rsidRDefault="00B351C5" w:rsidP="00B351C5">
            <w:pPr>
              <w:rPr>
                <w:rFonts w:ascii="Arial" w:hAnsi="Arial" w:cs="Arial"/>
              </w:rPr>
            </w:pPr>
            <w:r>
              <w:rPr>
                <w:rFonts w:ascii="Arial" w:hAnsi="Arial" w:cs="Arial"/>
              </w:rPr>
              <w:t xml:space="preserve">  </w:t>
            </w:r>
          </w:p>
          <w:p w14:paraId="22BADA56" w14:textId="77777777" w:rsidR="00B351C5" w:rsidRDefault="00B351C5" w:rsidP="00B351C5">
            <w:pPr>
              <w:rPr>
                <w:rFonts w:ascii="Arial" w:hAnsi="Arial" w:cs="Arial"/>
              </w:rPr>
            </w:pPr>
            <w:r>
              <w:rPr>
                <w:rFonts w:ascii="Arial" w:hAnsi="Arial" w:cs="Arial"/>
              </w:rPr>
              <w:t>Table 1. Admissions: number of applications, first priority applicants per study places</w:t>
            </w:r>
          </w:p>
          <w:tbl>
            <w:tblPr>
              <w:tblStyle w:val="TableGrid"/>
              <w:tblW w:w="0" w:type="auto"/>
              <w:jc w:val="center"/>
              <w:tblLook w:val="04A0" w:firstRow="1" w:lastRow="0" w:firstColumn="1" w:lastColumn="0" w:noHBand="0" w:noVBand="1"/>
            </w:tblPr>
            <w:tblGrid>
              <w:gridCol w:w="1441"/>
              <w:gridCol w:w="2075"/>
              <w:gridCol w:w="1758"/>
              <w:gridCol w:w="1758"/>
              <w:gridCol w:w="1758"/>
            </w:tblGrid>
            <w:tr w:rsidR="00B351C5" w:rsidRPr="00B3531A" w14:paraId="3141A8F6" w14:textId="77777777" w:rsidTr="00161F5D">
              <w:trPr>
                <w:jc w:val="center"/>
              </w:trPr>
              <w:tc>
                <w:tcPr>
                  <w:tcW w:w="1441" w:type="dxa"/>
                  <w:vAlign w:val="center"/>
                </w:tcPr>
                <w:p w14:paraId="7556C9FD" w14:textId="77777777" w:rsidR="00B351C5" w:rsidRDefault="00B351C5" w:rsidP="00B351C5">
                  <w:pPr>
                    <w:jc w:val="center"/>
                    <w:rPr>
                      <w:rFonts w:ascii="Arial" w:hAnsi="Arial" w:cs="Arial"/>
                    </w:rPr>
                  </w:pPr>
                  <w:r>
                    <w:rPr>
                      <w:rFonts w:ascii="Arial" w:hAnsi="Arial" w:cs="Arial"/>
                    </w:rPr>
                    <w:t>Academic year</w:t>
                  </w:r>
                </w:p>
              </w:tc>
              <w:tc>
                <w:tcPr>
                  <w:tcW w:w="2075" w:type="dxa"/>
                  <w:vAlign w:val="center"/>
                </w:tcPr>
                <w:p w14:paraId="1D8FEA52" w14:textId="77777777" w:rsidR="00B351C5" w:rsidRDefault="00B351C5" w:rsidP="00B351C5">
                  <w:pPr>
                    <w:jc w:val="center"/>
                    <w:rPr>
                      <w:rFonts w:ascii="Arial" w:hAnsi="Arial" w:cs="Arial"/>
                    </w:rPr>
                  </w:pPr>
                  <w:r>
                    <w:rPr>
                      <w:rFonts w:ascii="Arial" w:hAnsi="Arial" w:cs="Arial"/>
                    </w:rPr>
                    <w:t>Study places</w:t>
                  </w:r>
                </w:p>
              </w:tc>
              <w:tc>
                <w:tcPr>
                  <w:tcW w:w="1758" w:type="dxa"/>
                  <w:vAlign w:val="center"/>
                </w:tcPr>
                <w:p w14:paraId="351D058F" w14:textId="77777777" w:rsidR="00B351C5" w:rsidRDefault="00B351C5" w:rsidP="00B351C5">
                  <w:pPr>
                    <w:jc w:val="center"/>
                    <w:rPr>
                      <w:rFonts w:ascii="Arial" w:hAnsi="Arial" w:cs="Arial"/>
                    </w:rPr>
                  </w:pPr>
                  <w:r>
                    <w:rPr>
                      <w:rFonts w:ascii="Arial" w:hAnsi="Arial" w:cs="Arial"/>
                    </w:rPr>
                    <w:t>No. of first priority applicants</w:t>
                  </w:r>
                </w:p>
              </w:tc>
              <w:tc>
                <w:tcPr>
                  <w:tcW w:w="1758" w:type="dxa"/>
                  <w:vAlign w:val="center"/>
                </w:tcPr>
                <w:p w14:paraId="356B1A83" w14:textId="77777777" w:rsidR="00B351C5" w:rsidRDefault="00B351C5" w:rsidP="00B351C5">
                  <w:pPr>
                    <w:jc w:val="center"/>
                    <w:rPr>
                      <w:rFonts w:ascii="Arial" w:hAnsi="Arial" w:cs="Arial"/>
                    </w:rPr>
                  </w:pPr>
                  <w:r>
                    <w:rPr>
                      <w:rFonts w:ascii="Arial" w:hAnsi="Arial" w:cs="Arial"/>
                    </w:rPr>
                    <w:t>No. of qualified first priority applicants</w:t>
                  </w:r>
                </w:p>
              </w:tc>
              <w:tc>
                <w:tcPr>
                  <w:tcW w:w="1758" w:type="dxa"/>
                  <w:vAlign w:val="center"/>
                </w:tcPr>
                <w:p w14:paraId="68E4EC14" w14:textId="77777777" w:rsidR="00B351C5" w:rsidRDefault="00B351C5" w:rsidP="00B351C5">
                  <w:pPr>
                    <w:jc w:val="center"/>
                    <w:rPr>
                      <w:rFonts w:ascii="Arial" w:hAnsi="Arial" w:cs="Arial"/>
                    </w:rPr>
                  </w:pPr>
                  <w:r>
                    <w:rPr>
                      <w:rFonts w:ascii="Arial" w:hAnsi="Arial" w:cs="Arial"/>
                    </w:rPr>
                    <w:t>No. of qualified applicants per study place</w:t>
                  </w:r>
                </w:p>
              </w:tc>
            </w:tr>
            <w:tr w:rsidR="00B351C5" w:rsidRPr="00653649" w14:paraId="27E270D1" w14:textId="77777777" w:rsidTr="00161F5D">
              <w:trPr>
                <w:jc w:val="center"/>
              </w:trPr>
              <w:tc>
                <w:tcPr>
                  <w:tcW w:w="1441" w:type="dxa"/>
                </w:tcPr>
                <w:p w14:paraId="3EFBBC36" w14:textId="77777777" w:rsidR="00B351C5" w:rsidRDefault="00B351C5" w:rsidP="00B351C5">
                  <w:pPr>
                    <w:jc w:val="center"/>
                    <w:rPr>
                      <w:rFonts w:ascii="Arial" w:hAnsi="Arial" w:cs="Arial"/>
                    </w:rPr>
                  </w:pPr>
                  <w:r>
                    <w:rPr>
                      <w:rFonts w:ascii="Arial" w:hAnsi="Arial" w:cs="Arial"/>
                    </w:rPr>
                    <w:t>2022</w:t>
                  </w:r>
                </w:p>
              </w:tc>
              <w:tc>
                <w:tcPr>
                  <w:tcW w:w="2075" w:type="dxa"/>
                </w:tcPr>
                <w:p w14:paraId="5A702B19" w14:textId="77777777" w:rsidR="00B351C5" w:rsidRDefault="00B351C5" w:rsidP="00B351C5">
                  <w:pPr>
                    <w:jc w:val="center"/>
                    <w:rPr>
                      <w:rFonts w:ascii="Arial" w:hAnsi="Arial" w:cs="Arial"/>
                    </w:rPr>
                  </w:pPr>
                  <w:r>
                    <w:rPr>
                      <w:rFonts w:ascii="Arial" w:hAnsi="Arial" w:cs="Arial"/>
                    </w:rPr>
                    <w:t>23</w:t>
                  </w:r>
                </w:p>
              </w:tc>
              <w:tc>
                <w:tcPr>
                  <w:tcW w:w="1758" w:type="dxa"/>
                </w:tcPr>
                <w:p w14:paraId="1C3242DD" w14:textId="77777777" w:rsidR="00B351C5" w:rsidRDefault="00B351C5" w:rsidP="00B351C5">
                  <w:pPr>
                    <w:jc w:val="center"/>
                    <w:rPr>
                      <w:rFonts w:ascii="Arial" w:hAnsi="Arial" w:cs="Arial"/>
                    </w:rPr>
                  </w:pPr>
                  <w:r>
                    <w:rPr>
                      <w:rFonts w:ascii="Arial" w:hAnsi="Arial" w:cs="Arial"/>
                    </w:rPr>
                    <w:t>312</w:t>
                  </w:r>
                </w:p>
              </w:tc>
              <w:tc>
                <w:tcPr>
                  <w:tcW w:w="1758" w:type="dxa"/>
                </w:tcPr>
                <w:p w14:paraId="4F3BD786" w14:textId="77777777" w:rsidR="00B351C5" w:rsidRDefault="00B351C5" w:rsidP="00B351C5">
                  <w:pPr>
                    <w:jc w:val="center"/>
                    <w:rPr>
                      <w:rFonts w:ascii="Arial" w:hAnsi="Arial" w:cs="Arial"/>
                    </w:rPr>
                  </w:pPr>
                  <w:r>
                    <w:rPr>
                      <w:rFonts w:ascii="Arial" w:hAnsi="Arial" w:cs="Arial"/>
                    </w:rPr>
                    <w:t>61</w:t>
                  </w:r>
                </w:p>
              </w:tc>
              <w:tc>
                <w:tcPr>
                  <w:tcW w:w="1758" w:type="dxa"/>
                </w:tcPr>
                <w:p w14:paraId="45C81535" w14:textId="77777777" w:rsidR="00B351C5" w:rsidRDefault="00B351C5" w:rsidP="00B351C5">
                  <w:pPr>
                    <w:jc w:val="center"/>
                    <w:rPr>
                      <w:rFonts w:ascii="Arial" w:hAnsi="Arial" w:cs="Arial"/>
                    </w:rPr>
                  </w:pPr>
                  <w:r>
                    <w:rPr>
                      <w:rFonts w:ascii="Arial" w:hAnsi="Arial" w:cs="Arial"/>
                    </w:rPr>
                    <w:t>2,65</w:t>
                  </w:r>
                </w:p>
              </w:tc>
            </w:tr>
            <w:tr w:rsidR="00B351C5" w:rsidRPr="00653649" w14:paraId="1B566053" w14:textId="77777777" w:rsidTr="00161F5D">
              <w:trPr>
                <w:jc w:val="center"/>
              </w:trPr>
              <w:tc>
                <w:tcPr>
                  <w:tcW w:w="1441" w:type="dxa"/>
                </w:tcPr>
                <w:p w14:paraId="350EBE3E" w14:textId="77777777" w:rsidR="00B351C5" w:rsidRDefault="00B351C5" w:rsidP="00B351C5">
                  <w:pPr>
                    <w:jc w:val="center"/>
                    <w:rPr>
                      <w:rFonts w:ascii="Arial" w:hAnsi="Arial" w:cs="Arial"/>
                    </w:rPr>
                  </w:pPr>
                  <w:r>
                    <w:rPr>
                      <w:rFonts w:ascii="Arial" w:hAnsi="Arial" w:cs="Arial"/>
                    </w:rPr>
                    <w:t>2021</w:t>
                  </w:r>
                </w:p>
              </w:tc>
              <w:tc>
                <w:tcPr>
                  <w:tcW w:w="2075" w:type="dxa"/>
                </w:tcPr>
                <w:p w14:paraId="11A532D5" w14:textId="77777777" w:rsidR="00B351C5" w:rsidRDefault="00B351C5" w:rsidP="00B351C5">
                  <w:pPr>
                    <w:jc w:val="center"/>
                    <w:rPr>
                      <w:rFonts w:ascii="Arial" w:hAnsi="Arial" w:cs="Arial"/>
                    </w:rPr>
                  </w:pPr>
                  <w:r>
                    <w:rPr>
                      <w:rFonts w:ascii="Arial" w:hAnsi="Arial" w:cs="Arial"/>
                    </w:rPr>
                    <w:t>23</w:t>
                  </w:r>
                </w:p>
              </w:tc>
              <w:tc>
                <w:tcPr>
                  <w:tcW w:w="1758" w:type="dxa"/>
                </w:tcPr>
                <w:p w14:paraId="099BD4D9" w14:textId="77777777" w:rsidR="00B351C5" w:rsidRDefault="00B351C5" w:rsidP="00B351C5">
                  <w:pPr>
                    <w:jc w:val="center"/>
                    <w:rPr>
                      <w:rFonts w:ascii="Arial" w:hAnsi="Arial" w:cs="Arial"/>
                    </w:rPr>
                  </w:pPr>
                  <w:r>
                    <w:rPr>
                      <w:rFonts w:ascii="Arial" w:hAnsi="Arial" w:cs="Arial"/>
                    </w:rPr>
                    <w:t>242</w:t>
                  </w:r>
                </w:p>
              </w:tc>
              <w:tc>
                <w:tcPr>
                  <w:tcW w:w="1758" w:type="dxa"/>
                </w:tcPr>
                <w:p w14:paraId="3A41368A" w14:textId="77777777" w:rsidR="00B351C5" w:rsidRDefault="00B351C5" w:rsidP="00B351C5">
                  <w:pPr>
                    <w:jc w:val="center"/>
                    <w:rPr>
                      <w:rFonts w:ascii="Arial" w:hAnsi="Arial" w:cs="Arial"/>
                    </w:rPr>
                  </w:pPr>
                  <w:r>
                    <w:rPr>
                      <w:rFonts w:ascii="Arial" w:hAnsi="Arial" w:cs="Arial"/>
                    </w:rPr>
                    <w:t>71</w:t>
                  </w:r>
                </w:p>
              </w:tc>
              <w:tc>
                <w:tcPr>
                  <w:tcW w:w="1758" w:type="dxa"/>
                </w:tcPr>
                <w:p w14:paraId="72D61E54" w14:textId="77777777" w:rsidR="00B351C5" w:rsidRDefault="00B351C5" w:rsidP="00B351C5">
                  <w:pPr>
                    <w:jc w:val="center"/>
                    <w:rPr>
                      <w:rFonts w:ascii="Arial" w:hAnsi="Arial" w:cs="Arial"/>
                    </w:rPr>
                  </w:pPr>
                  <w:r>
                    <w:rPr>
                      <w:rFonts w:ascii="Arial" w:hAnsi="Arial" w:cs="Arial"/>
                    </w:rPr>
                    <w:t>3,09</w:t>
                  </w:r>
                </w:p>
              </w:tc>
            </w:tr>
            <w:tr w:rsidR="00B351C5" w:rsidRPr="00653649" w14:paraId="507A3BAD" w14:textId="77777777" w:rsidTr="00161F5D">
              <w:trPr>
                <w:jc w:val="center"/>
              </w:trPr>
              <w:tc>
                <w:tcPr>
                  <w:tcW w:w="1441" w:type="dxa"/>
                </w:tcPr>
                <w:p w14:paraId="5BBA0187" w14:textId="77777777" w:rsidR="00B351C5" w:rsidRDefault="00B351C5" w:rsidP="00B351C5">
                  <w:pPr>
                    <w:jc w:val="center"/>
                    <w:rPr>
                      <w:rFonts w:ascii="Arial" w:hAnsi="Arial" w:cs="Arial"/>
                    </w:rPr>
                  </w:pPr>
                  <w:r>
                    <w:rPr>
                      <w:rFonts w:ascii="Arial" w:hAnsi="Arial" w:cs="Arial"/>
                    </w:rPr>
                    <w:t>2020</w:t>
                  </w:r>
                </w:p>
              </w:tc>
              <w:tc>
                <w:tcPr>
                  <w:tcW w:w="2075" w:type="dxa"/>
                </w:tcPr>
                <w:p w14:paraId="09D98CC9" w14:textId="77777777" w:rsidR="00B351C5" w:rsidRDefault="00B351C5" w:rsidP="00B351C5">
                  <w:pPr>
                    <w:jc w:val="center"/>
                    <w:rPr>
                      <w:rFonts w:ascii="Arial" w:hAnsi="Arial" w:cs="Arial"/>
                    </w:rPr>
                  </w:pPr>
                  <w:r>
                    <w:rPr>
                      <w:rFonts w:ascii="Arial" w:hAnsi="Arial" w:cs="Arial"/>
                    </w:rPr>
                    <w:t>23</w:t>
                  </w:r>
                </w:p>
              </w:tc>
              <w:tc>
                <w:tcPr>
                  <w:tcW w:w="1758" w:type="dxa"/>
                </w:tcPr>
                <w:p w14:paraId="79FAAE58" w14:textId="77777777" w:rsidR="00B351C5" w:rsidRDefault="00B351C5" w:rsidP="00B351C5">
                  <w:pPr>
                    <w:jc w:val="center"/>
                    <w:rPr>
                      <w:rFonts w:ascii="Arial" w:hAnsi="Arial" w:cs="Arial"/>
                    </w:rPr>
                  </w:pPr>
                  <w:r>
                    <w:rPr>
                      <w:rFonts w:ascii="Arial" w:hAnsi="Arial" w:cs="Arial"/>
                    </w:rPr>
                    <w:t>257</w:t>
                  </w:r>
                </w:p>
              </w:tc>
              <w:tc>
                <w:tcPr>
                  <w:tcW w:w="1758" w:type="dxa"/>
                </w:tcPr>
                <w:p w14:paraId="20FF5012" w14:textId="77777777" w:rsidR="00B351C5" w:rsidRDefault="00B351C5" w:rsidP="00B351C5">
                  <w:pPr>
                    <w:jc w:val="center"/>
                    <w:rPr>
                      <w:rFonts w:ascii="Arial" w:hAnsi="Arial" w:cs="Arial"/>
                    </w:rPr>
                  </w:pPr>
                  <w:r>
                    <w:rPr>
                      <w:rFonts w:ascii="Arial" w:hAnsi="Arial" w:cs="Arial"/>
                    </w:rPr>
                    <w:t>94</w:t>
                  </w:r>
                </w:p>
              </w:tc>
              <w:tc>
                <w:tcPr>
                  <w:tcW w:w="1758" w:type="dxa"/>
                </w:tcPr>
                <w:p w14:paraId="7DAF7DCE" w14:textId="77777777" w:rsidR="00B351C5" w:rsidRDefault="00B351C5" w:rsidP="00B351C5">
                  <w:pPr>
                    <w:jc w:val="center"/>
                    <w:rPr>
                      <w:rFonts w:ascii="Arial" w:hAnsi="Arial" w:cs="Arial"/>
                    </w:rPr>
                  </w:pPr>
                  <w:r>
                    <w:rPr>
                      <w:rFonts w:ascii="Arial" w:hAnsi="Arial" w:cs="Arial"/>
                    </w:rPr>
                    <w:t>4,09</w:t>
                  </w:r>
                </w:p>
              </w:tc>
            </w:tr>
            <w:tr w:rsidR="00B351C5" w:rsidRPr="00653649" w14:paraId="0A837DF5" w14:textId="77777777" w:rsidTr="00161F5D">
              <w:trPr>
                <w:jc w:val="center"/>
              </w:trPr>
              <w:tc>
                <w:tcPr>
                  <w:tcW w:w="1441" w:type="dxa"/>
                </w:tcPr>
                <w:p w14:paraId="7C502ECA" w14:textId="77777777" w:rsidR="00B351C5" w:rsidRDefault="00B351C5" w:rsidP="00B351C5">
                  <w:pPr>
                    <w:jc w:val="center"/>
                    <w:rPr>
                      <w:rFonts w:ascii="Arial" w:hAnsi="Arial" w:cs="Arial"/>
                    </w:rPr>
                  </w:pPr>
                  <w:r>
                    <w:rPr>
                      <w:rFonts w:ascii="Arial" w:hAnsi="Arial" w:cs="Arial"/>
                    </w:rPr>
                    <w:t>2019</w:t>
                  </w:r>
                </w:p>
              </w:tc>
              <w:tc>
                <w:tcPr>
                  <w:tcW w:w="2075" w:type="dxa"/>
                </w:tcPr>
                <w:p w14:paraId="2B1FFE82" w14:textId="77777777" w:rsidR="00B351C5" w:rsidRDefault="00B351C5" w:rsidP="00B351C5">
                  <w:pPr>
                    <w:jc w:val="center"/>
                    <w:rPr>
                      <w:rFonts w:ascii="Arial" w:hAnsi="Arial" w:cs="Arial"/>
                    </w:rPr>
                  </w:pPr>
                  <w:r>
                    <w:rPr>
                      <w:rFonts w:ascii="Arial" w:hAnsi="Arial" w:cs="Arial"/>
                    </w:rPr>
                    <w:t>20</w:t>
                  </w:r>
                </w:p>
              </w:tc>
              <w:tc>
                <w:tcPr>
                  <w:tcW w:w="1758" w:type="dxa"/>
                </w:tcPr>
                <w:p w14:paraId="05739646" w14:textId="77777777" w:rsidR="00B351C5" w:rsidRDefault="00B351C5" w:rsidP="00B351C5">
                  <w:pPr>
                    <w:jc w:val="center"/>
                    <w:rPr>
                      <w:rFonts w:ascii="Arial" w:hAnsi="Arial" w:cs="Arial"/>
                    </w:rPr>
                  </w:pPr>
                  <w:r>
                    <w:rPr>
                      <w:rFonts w:ascii="Arial" w:hAnsi="Arial" w:cs="Arial"/>
                    </w:rPr>
                    <w:t>219</w:t>
                  </w:r>
                </w:p>
              </w:tc>
              <w:tc>
                <w:tcPr>
                  <w:tcW w:w="1758" w:type="dxa"/>
                </w:tcPr>
                <w:p w14:paraId="3E58B520" w14:textId="77777777" w:rsidR="00B351C5" w:rsidRDefault="00B351C5" w:rsidP="00B351C5">
                  <w:pPr>
                    <w:jc w:val="center"/>
                    <w:rPr>
                      <w:rFonts w:ascii="Arial" w:hAnsi="Arial" w:cs="Arial"/>
                    </w:rPr>
                  </w:pPr>
                  <w:r>
                    <w:rPr>
                      <w:rFonts w:ascii="Arial" w:hAnsi="Arial" w:cs="Arial"/>
                    </w:rPr>
                    <w:t>93</w:t>
                  </w:r>
                </w:p>
              </w:tc>
              <w:tc>
                <w:tcPr>
                  <w:tcW w:w="1758" w:type="dxa"/>
                </w:tcPr>
                <w:p w14:paraId="6C296137" w14:textId="77777777" w:rsidR="00B351C5" w:rsidRDefault="00B351C5" w:rsidP="00B351C5">
                  <w:pPr>
                    <w:jc w:val="center"/>
                    <w:rPr>
                      <w:rFonts w:ascii="Arial" w:hAnsi="Arial" w:cs="Arial"/>
                    </w:rPr>
                  </w:pPr>
                  <w:r>
                    <w:rPr>
                      <w:rFonts w:ascii="Arial" w:hAnsi="Arial" w:cs="Arial"/>
                    </w:rPr>
                    <w:t>4,65</w:t>
                  </w:r>
                </w:p>
              </w:tc>
            </w:tr>
          </w:tbl>
          <w:p w14:paraId="7183E6F5" w14:textId="77777777" w:rsidR="00B351C5" w:rsidRDefault="00B351C5" w:rsidP="00B351C5">
            <w:pPr>
              <w:pStyle w:val="TableParagraph"/>
              <w:spacing w:line="276" w:lineRule="auto"/>
              <w:ind w:right="262"/>
              <w:rPr>
                <w:rFonts w:ascii="Arial" w:hAnsi="Arial" w:cs="Arial"/>
                <w:b/>
                <w:sz w:val="18"/>
                <w:szCs w:val="18"/>
              </w:rPr>
            </w:pPr>
            <w:r>
              <w:rPr>
                <w:rFonts w:ascii="Arial" w:hAnsi="Arial" w:cs="Arial"/>
                <w:b/>
                <w:sz w:val="18"/>
                <w:szCs w:val="18"/>
              </w:rPr>
              <w:t>Source</w:t>
            </w:r>
            <w:r w:rsidRPr="00E61DE8">
              <w:rPr>
                <w:rFonts w:ascii="Arial" w:hAnsi="Arial" w:cs="Arial"/>
                <w:b/>
                <w:sz w:val="18"/>
                <w:szCs w:val="18"/>
              </w:rPr>
              <w:t>: F</w:t>
            </w:r>
            <w:r>
              <w:rPr>
                <w:rFonts w:ascii="Arial" w:hAnsi="Arial" w:cs="Arial"/>
                <w:b/>
                <w:sz w:val="18"/>
                <w:szCs w:val="18"/>
              </w:rPr>
              <w:t>elles Studentsystem (FS)</w:t>
            </w:r>
          </w:p>
          <w:p w14:paraId="04F3BE1E" w14:textId="77777777" w:rsidR="0061088E" w:rsidRDefault="0061088E" w:rsidP="00571A14">
            <w:pPr>
              <w:autoSpaceDE w:val="0"/>
              <w:autoSpaceDN w:val="0"/>
              <w:adjustRightInd w:val="0"/>
              <w:rPr>
                <w:rFonts w:ascii="Times New Roman" w:hAnsi="Times New Roman" w:cs="Times New Roman"/>
                <w:sz w:val="24"/>
                <w:szCs w:val="24"/>
              </w:rPr>
            </w:pPr>
          </w:p>
          <w:p w14:paraId="720C616A" w14:textId="4A4FCDA1" w:rsidR="001401A3" w:rsidRDefault="001401A3" w:rsidP="00571A14">
            <w:pPr>
              <w:autoSpaceDE w:val="0"/>
              <w:autoSpaceDN w:val="0"/>
              <w:adjustRightInd w:val="0"/>
              <w:rPr>
                <w:rFonts w:ascii="Times New Roman" w:hAnsi="Times New Roman" w:cs="Times New Roman"/>
                <w:sz w:val="24"/>
                <w:szCs w:val="24"/>
              </w:rPr>
            </w:pPr>
          </w:p>
        </w:tc>
      </w:tr>
      <w:tr w:rsidR="001401A3" w14:paraId="28F9C64B" w14:textId="77777777" w:rsidTr="00F33CAC">
        <w:trPr>
          <w:trHeight w:val="838"/>
        </w:trPr>
        <w:tc>
          <w:tcPr>
            <w:tcW w:w="9016" w:type="dxa"/>
            <w:shd w:val="clear" w:color="auto" w:fill="E2EFD9" w:themeFill="accent6" w:themeFillTint="33"/>
          </w:tcPr>
          <w:p w14:paraId="4CFD357C" w14:textId="636533A8" w:rsidR="001401A3" w:rsidRDefault="001401A3" w:rsidP="00B3575C">
            <w:pPr>
              <w:autoSpaceDE w:val="0"/>
              <w:autoSpaceDN w:val="0"/>
              <w:adjustRightInd w:val="0"/>
              <w:rPr>
                <w:rFonts w:ascii="Times New Roman" w:hAnsi="Times New Roman" w:cs="Times New Roman"/>
                <w:sz w:val="24"/>
                <w:szCs w:val="24"/>
              </w:rPr>
            </w:pPr>
            <w:r w:rsidRPr="006F2098">
              <w:rPr>
                <w:rFonts w:ascii="Times New Roman" w:hAnsi="Times New Roman" w:cs="Times New Roman"/>
                <w:b/>
                <w:bCs/>
                <w:sz w:val="24"/>
                <w:szCs w:val="24"/>
              </w:rPr>
              <w:t>Frame quality</w:t>
            </w:r>
            <w:r w:rsidR="00B3575C">
              <w:rPr>
                <w:rFonts w:ascii="Times New Roman" w:hAnsi="Times New Roman" w:cs="Times New Roman"/>
                <w:sz w:val="24"/>
                <w:szCs w:val="24"/>
              </w:rPr>
              <w:t xml:space="preserve"> </w:t>
            </w:r>
            <w:r>
              <w:rPr>
                <w:rFonts w:ascii="Times New Roman" w:hAnsi="Times New Roman" w:cs="Times New Roman"/>
                <w:sz w:val="24"/>
                <w:szCs w:val="24"/>
              </w:rPr>
              <w:t>(The physical organizational and psychosocial learning environment and the academic environment around the education)</w:t>
            </w:r>
          </w:p>
        </w:tc>
      </w:tr>
      <w:tr w:rsidR="005646D4" w14:paraId="7DACC759" w14:textId="77777777" w:rsidTr="001401A3">
        <w:tc>
          <w:tcPr>
            <w:tcW w:w="9016" w:type="dxa"/>
            <w:tcBorders>
              <w:bottom w:val="single" w:sz="4" w:space="0" w:color="auto"/>
            </w:tcBorders>
          </w:tcPr>
          <w:p w14:paraId="38827326" w14:textId="43C7E54A" w:rsidR="001401A3" w:rsidRDefault="001401A3" w:rsidP="00571A14">
            <w:pPr>
              <w:autoSpaceDE w:val="0"/>
              <w:autoSpaceDN w:val="0"/>
              <w:adjustRightInd w:val="0"/>
              <w:rPr>
                <w:rFonts w:ascii="Times New Roman" w:hAnsi="Times New Roman" w:cs="Times New Roman"/>
                <w:sz w:val="24"/>
                <w:szCs w:val="24"/>
              </w:rPr>
            </w:pPr>
          </w:p>
          <w:p w14:paraId="54735F30" w14:textId="77777777" w:rsidR="00CE0A34" w:rsidRDefault="00CE0A34" w:rsidP="00CE0A34">
            <w:pPr>
              <w:rPr>
                <w:rFonts w:ascii="Arial" w:hAnsi="Arial" w:cs="Arial"/>
                <w:bCs/>
              </w:rPr>
            </w:pPr>
            <w:r>
              <w:rPr>
                <w:rFonts w:ascii="Arial" w:hAnsi="Arial" w:cs="Arial"/>
                <w:bCs/>
              </w:rPr>
              <w:t xml:space="preserve">NOKUT (Norwegian Agency for Quality Assurance in Education) conducts a national survey (Study Barometer Report) that scores students’ satisfaction across a variety of indicators. Table 2 presents the student satisfaction scores related to the physical infrastructure and learning environment, and the academic and social learning environment. The scores are based on rankings that range from ‘1’ (meaning strongly </w:t>
            </w:r>
            <w:r>
              <w:rPr>
                <w:rFonts w:ascii="Arial" w:hAnsi="Arial" w:cs="Arial"/>
                <w:bCs/>
              </w:rPr>
              <w:lastRenderedPageBreak/>
              <w:t xml:space="preserve">disagree) to ‘5’ (meaning strongly agree). The results of the 2021 survey show that the M-ECON program received a slightly lower score on the students’ satisfaction with the physical learning environment and infrastructure relative to previous (pre-covid) years. In 2021, there was still hybrid instruction, mixing on-campus instruction with livestreamed lectures, making direct comparisons with pre-covid years difficult. By contrast, there was marked improvement in the 2021 score on the level of satisfaction in the academic and social learning environment relative to 2020, when there seems to have been much dissatisfaction with having to comply with covid-related physical and social distancing requirements. A strength of the program is the relatively small classes where students can work in groups on cases, exercises, or semester projects where there is close supervision and feedback from instructors. However, the 2021 score shows an improvement over pre-covid years as well, suggesting that the efforts to improve student-faculty interaction in classes and informal social interaction among faculty and first- and second-year M-ECON students could be having a positive effect.  </w:t>
            </w:r>
          </w:p>
          <w:p w14:paraId="69179013" w14:textId="77777777" w:rsidR="00CE0A34" w:rsidRDefault="00CE0A34" w:rsidP="00CE0A34">
            <w:pPr>
              <w:rPr>
                <w:rFonts w:ascii="Arial" w:hAnsi="Arial" w:cs="Arial"/>
                <w:bCs/>
              </w:rPr>
            </w:pPr>
          </w:p>
          <w:p w14:paraId="47FF085C" w14:textId="77777777" w:rsidR="00CE0A34" w:rsidRDefault="00CE0A34" w:rsidP="00CE0A34">
            <w:pPr>
              <w:rPr>
                <w:rFonts w:ascii="Arial" w:hAnsi="Arial" w:cs="Arial"/>
                <w:bCs/>
              </w:rPr>
            </w:pPr>
            <w:r>
              <w:rPr>
                <w:rFonts w:ascii="Arial" w:hAnsi="Arial" w:cs="Arial"/>
                <w:bCs/>
              </w:rPr>
              <w:t xml:space="preserve"> </w:t>
            </w:r>
          </w:p>
          <w:p w14:paraId="1DF09B00" w14:textId="77777777" w:rsidR="00CE0A34" w:rsidRDefault="00CE0A34" w:rsidP="00CE0A34">
            <w:pPr>
              <w:rPr>
                <w:rFonts w:ascii="Arial" w:hAnsi="Arial" w:cs="Arial"/>
                <w:bCs/>
              </w:rPr>
            </w:pPr>
            <w:r>
              <w:rPr>
                <w:rFonts w:ascii="Arial" w:hAnsi="Arial" w:cs="Arial"/>
                <w:bCs/>
              </w:rPr>
              <w:t>Table 2. Student satisfaction with physical, academic and social learning environment</w:t>
            </w:r>
          </w:p>
          <w:tbl>
            <w:tblPr>
              <w:tblStyle w:val="TableGrid"/>
              <w:tblW w:w="0" w:type="auto"/>
              <w:tblLook w:val="04A0" w:firstRow="1" w:lastRow="0" w:firstColumn="1" w:lastColumn="0" w:noHBand="0" w:noVBand="1"/>
            </w:tblPr>
            <w:tblGrid>
              <w:gridCol w:w="1299"/>
              <w:gridCol w:w="2551"/>
              <w:gridCol w:w="2552"/>
            </w:tblGrid>
            <w:tr w:rsidR="00CE0A34" w:rsidRPr="00B3531A" w14:paraId="1B8EA0E4" w14:textId="77777777" w:rsidTr="00161F5D">
              <w:tc>
                <w:tcPr>
                  <w:tcW w:w="1299" w:type="dxa"/>
                </w:tcPr>
                <w:p w14:paraId="3276FFDB" w14:textId="77777777" w:rsidR="00CE0A34" w:rsidRDefault="00CE0A34" w:rsidP="00CE0A34">
                  <w:pPr>
                    <w:rPr>
                      <w:rFonts w:ascii="Arial" w:hAnsi="Arial" w:cs="Arial"/>
                      <w:bCs/>
                    </w:rPr>
                  </w:pPr>
                </w:p>
              </w:tc>
              <w:tc>
                <w:tcPr>
                  <w:tcW w:w="2551" w:type="dxa"/>
                </w:tcPr>
                <w:p w14:paraId="1A423885" w14:textId="77777777" w:rsidR="00CE0A34" w:rsidRDefault="00CE0A34" w:rsidP="00CE0A34">
                  <w:pPr>
                    <w:jc w:val="center"/>
                    <w:rPr>
                      <w:rFonts w:ascii="Arial" w:hAnsi="Arial" w:cs="Arial"/>
                      <w:bCs/>
                    </w:rPr>
                  </w:pPr>
                  <w:r>
                    <w:rPr>
                      <w:rFonts w:ascii="Arial" w:hAnsi="Arial" w:cs="Arial"/>
                      <w:bCs/>
                    </w:rPr>
                    <w:t>Physical learning environment and infrastructure</w:t>
                  </w:r>
                </w:p>
              </w:tc>
              <w:tc>
                <w:tcPr>
                  <w:tcW w:w="2552" w:type="dxa"/>
                  <w:vAlign w:val="center"/>
                </w:tcPr>
                <w:p w14:paraId="797F167D" w14:textId="77777777" w:rsidR="00CE0A34" w:rsidRDefault="00CE0A34" w:rsidP="00CE0A34">
                  <w:pPr>
                    <w:jc w:val="center"/>
                    <w:rPr>
                      <w:rFonts w:ascii="Arial" w:hAnsi="Arial" w:cs="Arial"/>
                      <w:bCs/>
                    </w:rPr>
                  </w:pPr>
                  <w:r>
                    <w:rPr>
                      <w:rFonts w:ascii="Arial" w:hAnsi="Arial" w:cs="Arial"/>
                      <w:bCs/>
                    </w:rPr>
                    <w:t>Academic and social learning environment</w:t>
                  </w:r>
                </w:p>
              </w:tc>
            </w:tr>
            <w:tr w:rsidR="00CE0A34" w:rsidRPr="00B3531A" w14:paraId="3E9EB34F" w14:textId="77777777" w:rsidTr="00161F5D">
              <w:tc>
                <w:tcPr>
                  <w:tcW w:w="1299" w:type="dxa"/>
                </w:tcPr>
                <w:p w14:paraId="49BEF876" w14:textId="77777777" w:rsidR="00CE0A34" w:rsidRDefault="00CE0A34" w:rsidP="00CE0A34">
                  <w:pPr>
                    <w:jc w:val="center"/>
                    <w:rPr>
                      <w:rFonts w:ascii="Arial" w:hAnsi="Arial" w:cs="Arial"/>
                      <w:bCs/>
                    </w:rPr>
                  </w:pPr>
                  <w:r>
                    <w:rPr>
                      <w:rFonts w:ascii="Arial" w:hAnsi="Arial" w:cs="Arial"/>
                      <w:bCs/>
                    </w:rPr>
                    <w:t>2021</w:t>
                  </w:r>
                </w:p>
              </w:tc>
              <w:tc>
                <w:tcPr>
                  <w:tcW w:w="2551" w:type="dxa"/>
                </w:tcPr>
                <w:p w14:paraId="3E4E9218" w14:textId="77777777" w:rsidR="00CE0A34" w:rsidRDefault="00CE0A34" w:rsidP="00CE0A34">
                  <w:pPr>
                    <w:jc w:val="center"/>
                    <w:rPr>
                      <w:rFonts w:ascii="Arial" w:hAnsi="Arial" w:cs="Arial"/>
                      <w:bCs/>
                    </w:rPr>
                  </w:pPr>
                  <w:r>
                    <w:rPr>
                      <w:rFonts w:ascii="Arial" w:hAnsi="Arial" w:cs="Arial"/>
                      <w:bCs/>
                    </w:rPr>
                    <w:t>4,0</w:t>
                  </w:r>
                </w:p>
              </w:tc>
              <w:tc>
                <w:tcPr>
                  <w:tcW w:w="2552" w:type="dxa"/>
                </w:tcPr>
                <w:p w14:paraId="67478AA4" w14:textId="77777777" w:rsidR="00CE0A34" w:rsidRDefault="00CE0A34" w:rsidP="00CE0A34">
                  <w:pPr>
                    <w:jc w:val="center"/>
                    <w:rPr>
                      <w:rFonts w:ascii="Arial" w:hAnsi="Arial" w:cs="Arial"/>
                      <w:bCs/>
                    </w:rPr>
                  </w:pPr>
                  <w:r>
                    <w:rPr>
                      <w:rFonts w:ascii="Arial" w:hAnsi="Arial" w:cs="Arial"/>
                      <w:bCs/>
                    </w:rPr>
                    <w:t>3,9</w:t>
                  </w:r>
                </w:p>
              </w:tc>
            </w:tr>
            <w:tr w:rsidR="00CE0A34" w:rsidRPr="00B3531A" w14:paraId="1D4E6BE1" w14:textId="77777777" w:rsidTr="00161F5D">
              <w:tc>
                <w:tcPr>
                  <w:tcW w:w="1299" w:type="dxa"/>
                </w:tcPr>
                <w:p w14:paraId="6951AF98" w14:textId="77777777" w:rsidR="00CE0A34" w:rsidRDefault="00CE0A34" w:rsidP="00CE0A34">
                  <w:pPr>
                    <w:jc w:val="center"/>
                    <w:rPr>
                      <w:rFonts w:ascii="Arial" w:hAnsi="Arial" w:cs="Arial"/>
                      <w:bCs/>
                    </w:rPr>
                  </w:pPr>
                  <w:r>
                    <w:rPr>
                      <w:rFonts w:ascii="Arial" w:hAnsi="Arial" w:cs="Arial"/>
                      <w:bCs/>
                    </w:rPr>
                    <w:t>2020</w:t>
                  </w:r>
                </w:p>
              </w:tc>
              <w:tc>
                <w:tcPr>
                  <w:tcW w:w="2551" w:type="dxa"/>
                </w:tcPr>
                <w:p w14:paraId="7DCA4882" w14:textId="77777777" w:rsidR="00CE0A34" w:rsidRDefault="00CE0A34" w:rsidP="00CE0A34">
                  <w:pPr>
                    <w:jc w:val="center"/>
                    <w:rPr>
                      <w:rFonts w:ascii="Arial" w:hAnsi="Arial" w:cs="Arial"/>
                      <w:bCs/>
                    </w:rPr>
                  </w:pPr>
                  <w:r>
                    <w:rPr>
                      <w:rFonts w:ascii="Arial" w:hAnsi="Arial" w:cs="Arial"/>
                      <w:bCs/>
                    </w:rPr>
                    <w:t>N/A</w:t>
                  </w:r>
                </w:p>
              </w:tc>
              <w:tc>
                <w:tcPr>
                  <w:tcW w:w="2552" w:type="dxa"/>
                </w:tcPr>
                <w:p w14:paraId="544CB1D0" w14:textId="77777777" w:rsidR="00CE0A34" w:rsidRDefault="00CE0A34" w:rsidP="00CE0A34">
                  <w:pPr>
                    <w:jc w:val="center"/>
                    <w:rPr>
                      <w:rFonts w:ascii="Arial" w:hAnsi="Arial" w:cs="Arial"/>
                      <w:bCs/>
                    </w:rPr>
                  </w:pPr>
                  <w:r>
                    <w:rPr>
                      <w:rFonts w:ascii="Arial" w:hAnsi="Arial" w:cs="Arial"/>
                      <w:bCs/>
                    </w:rPr>
                    <w:t>2,3</w:t>
                  </w:r>
                </w:p>
              </w:tc>
            </w:tr>
            <w:tr w:rsidR="00CE0A34" w:rsidRPr="00B3531A" w14:paraId="066B0F40" w14:textId="77777777" w:rsidTr="00161F5D">
              <w:tc>
                <w:tcPr>
                  <w:tcW w:w="1299" w:type="dxa"/>
                </w:tcPr>
                <w:p w14:paraId="648D5F1E" w14:textId="77777777" w:rsidR="00CE0A34" w:rsidRDefault="00CE0A34" w:rsidP="00CE0A34">
                  <w:pPr>
                    <w:jc w:val="center"/>
                    <w:rPr>
                      <w:rFonts w:ascii="Arial" w:hAnsi="Arial" w:cs="Arial"/>
                      <w:bCs/>
                    </w:rPr>
                  </w:pPr>
                  <w:r>
                    <w:rPr>
                      <w:rFonts w:ascii="Arial" w:hAnsi="Arial" w:cs="Arial"/>
                      <w:bCs/>
                    </w:rPr>
                    <w:t>2019</w:t>
                  </w:r>
                </w:p>
              </w:tc>
              <w:tc>
                <w:tcPr>
                  <w:tcW w:w="2551" w:type="dxa"/>
                </w:tcPr>
                <w:p w14:paraId="1E86ED93" w14:textId="77777777" w:rsidR="00CE0A34" w:rsidRDefault="00CE0A34" w:rsidP="00CE0A34">
                  <w:pPr>
                    <w:jc w:val="center"/>
                    <w:rPr>
                      <w:rFonts w:ascii="Arial" w:hAnsi="Arial" w:cs="Arial"/>
                      <w:bCs/>
                    </w:rPr>
                  </w:pPr>
                  <w:r>
                    <w:rPr>
                      <w:rFonts w:ascii="Arial" w:hAnsi="Arial" w:cs="Arial"/>
                      <w:bCs/>
                    </w:rPr>
                    <w:t>4,3</w:t>
                  </w:r>
                </w:p>
              </w:tc>
              <w:tc>
                <w:tcPr>
                  <w:tcW w:w="2552" w:type="dxa"/>
                </w:tcPr>
                <w:p w14:paraId="3954D48E" w14:textId="77777777" w:rsidR="00CE0A34" w:rsidRDefault="00CE0A34" w:rsidP="00CE0A34">
                  <w:pPr>
                    <w:jc w:val="center"/>
                    <w:rPr>
                      <w:rFonts w:ascii="Arial" w:hAnsi="Arial" w:cs="Arial"/>
                      <w:bCs/>
                    </w:rPr>
                  </w:pPr>
                  <w:r>
                    <w:rPr>
                      <w:rFonts w:ascii="Arial" w:hAnsi="Arial" w:cs="Arial"/>
                      <w:bCs/>
                    </w:rPr>
                    <w:t>3,7</w:t>
                  </w:r>
                </w:p>
              </w:tc>
            </w:tr>
            <w:tr w:rsidR="00CE0A34" w:rsidRPr="00B3531A" w14:paraId="6C03B276" w14:textId="77777777" w:rsidTr="00161F5D">
              <w:tc>
                <w:tcPr>
                  <w:tcW w:w="1299" w:type="dxa"/>
                </w:tcPr>
                <w:p w14:paraId="5434BE8D" w14:textId="77777777" w:rsidR="00CE0A34" w:rsidRDefault="00CE0A34" w:rsidP="00CE0A34">
                  <w:pPr>
                    <w:jc w:val="center"/>
                    <w:rPr>
                      <w:rFonts w:ascii="Arial" w:hAnsi="Arial" w:cs="Arial"/>
                      <w:bCs/>
                    </w:rPr>
                  </w:pPr>
                  <w:r>
                    <w:rPr>
                      <w:rFonts w:ascii="Arial" w:hAnsi="Arial" w:cs="Arial"/>
                      <w:bCs/>
                    </w:rPr>
                    <w:t>2018</w:t>
                  </w:r>
                </w:p>
              </w:tc>
              <w:tc>
                <w:tcPr>
                  <w:tcW w:w="2551" w:type="dxa"/>
                </w:tcPr>
                <w:p w14:paraId="067EF8D3" w14:textId="77777777" w:rsidR="00CE0A34" w:rsidRDefault="00CE0A34" w:rsidP="00CE0A34">
                  <w:pPr>
                    <w:jc w:val="center"/>
                    <w:rPr>
                      <w:rFonts w:ascii="Arial" w:hAnsi="Arial" w:cs="Arial"/>
                      <w:bCs/>
                    </w:rPr>
                  </w:pPr>
                  <w:r>
                    <w:rPr>
                      <w:rFonts w:ascii="Arial" w:hAnsi="Arial" w:cs="Arial"/>
                      <w:bCs/>
                    </w:rPr>
                    <w:t>4,1</w:t>
                  </w:r>
                </w:p>
              </w:tc>
              <w:tc>
                <w:tcPr>
                  <w:tcW w:w="2552" w:type="dxa"/>
                </w:tcPr>
                <w:p w14:paraId="501C62B6" w14:textId="77777777" w:rsidR="00CE0A34" w:rsidRDefault="00CE0A34" w:rsidP="00CE0A34">
                  <w:pPr>
                    <w:jc w:val="center"/>
                    <w:rPr>
                      <w:rFonts w:ascii="Arial" w:hAnsi="Arial" w:cs="Arial"/>
                      <w:bCs/>
                    </w:rPr>
                  </w:pPr>
                  <w:r>
                    <w:rPr>
                      <w:rFonts w:ascii="Arial" w:hAnsi="Arial" w:cs="Arial"/>
                      <w:bCs/>
                    </w:rPr>
                    <w:t>3,7</w:t>
                  </w:r>
                </w:p>
              </w:tc>
            </w:tr>
          </w:tbl>
          <w:p w14:paraId="64E24A9B" w14:textId="77777777" w:rsidR="00CE0A34" w:rsidRDefault="00CE0A34" w:rsidP="00CE0A34">
            <w:pPr>
              <w:pStyle w:val="TableParagraph"/>
              <w:spacing w:line="276" w:lineRule="auto"/>
              <w:ind w:right="262"/>
              <w:rPr>
                <w:rFonts w:ascii="Arial" w:hAnsi="Arial" w:cs="Arial"/>
                <w:b/>
                <w:sz w:val="18"/>
                <w:szCs w:val="18"/>
              </w:rPr>
            </w:pPr>
            <w:r>
              <w:rPr>
                <w:rFonts w:ascii="Arial" w:hAnsi="Arial" w:cs="Arial"/>
                <w:b/>
                <w:sz w:val="18"/>
                <w:szCs w:val="18"/>
              </w:rPr>
              <w:t>Source</w:t>
            </w:r>
            <w:r w:rsidRPr="00E61DE8">
              <w:rPr>
                <w:rFonts w:ascii="Arial" w:hAnsi="Arial" w:cs="Arial"/>
                <w:b/>
                <w:sz w:val="18"/>
                <w:szCs w:val="18"/>
              </w:rPr>
              <w:t xml:space="preserve">: </w:t>
            </w:r>
            <w:r>
              <w:rPr>
                <w:rFonts w:ascii="Arial" w:hAnsi="Arial" w:cs="Arial"/>
                <w:b/>
                <w:sz w:val="18"/>
                <w:szCs w:val="18"/>
              </w:rPr>
              <w:t>Studiebarometeret</w:t>
            </w:r>
          </w:p>
          <w:p w14:paraId="2AB1AFAA" w14:textId="7F88472D" w:rsidR="001401A3" w:rsidRDefault="001401A3" w:rsidP="00571A14">
            <w:pPr>
              <w:autoSpaceDE w:val="0"/>
              <w:autoSpaceDN w:val="0"/>
              <w:adjustRightInd w:val="0"/>
              <w:rPr>
                <w:rFonts w:ascii="Times New Roman" w:hAnsi="Times New Roman" w:cs="Times New Roman"/>
                <w:sz w:val="24"/>
                <w:szCs w:val="24"/>
              </w:rPr>
            </w:pPr>
          </w:p>
        </w:tc>
      </w:tr>
      <w:tr w:rsidR="001401A3" w14:paraId="114913AD" w14:textId="77777777" w:rsidTr="00CC4367">
        <w:trPr>
          <w:trHeight w:val="562"/>
        </w:trPr>
        <w:tc>
          <w:tcPr>
            <w:tcW w:w="9016" w:type="dxa"/>
            <w:shd w:val="clear" w:color="auto" w:fill="E2EFD9" w:themeFill="accent6" w:themeFillTint="33"/>
          </w:tcPr>
          <w:p w14:paraId="234E5DE0" w14:textId="77777777" w:rsidR="001401A3" w:rsidRDefault="001401A3"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Program design and management</w:t>
            </w:r>
          </w:p>
          <w:p w14:paraId="6868A32E" w14:textId="10741892" w:rsidR="001401A3" w:rsidRDefault="001401A3"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(Academic content of the study, internationalization, organization and management)</w:t>
            </w:r>
          </w:p>
        </w:tc>
      </w:tr>
      <w:tr w:rsidR="001401A3" w14:paraId="674D453A" w14:textId="77777777" w:rsidTr="005646D4">
        <w:tc>
          <w:tcPr>
            <w:tcW w:w="9016" w:type="dxa"/>
          </w:tcPr>
          <w:p w14:paraId="53519709" w14:textId="77777777" w:rsidR="00443D42" w:rsidRDefault="00443D42" w:rsidP="00571A14">
            <w:pPr>
              <w:autoSpaceDE w:val="0"/>
              <w:autoSpaceDN w:val="0"/>
              <w:adjustRightInd w:val="0"/>
              <w:rPr>
                <w:rFonts w:ascii="Times New Roman" w:hAnsi="Times New Roman" w:cs="Times New Roman"/>
                <w:sz w:val="24"/>
                <w:szCs w:val="24"/>
              </w:rPr>
            </w:pPr>
          </w:p>
          <w:p w14:paraId="5C0E72B0" w14:textId="77777777" w:rsidR="00E05A18" w:rsidRPr="00E044F3" w:rsidRDefault="00E05A18" w:rsidP="00E05A18">
            <w:pPr>
              <w:rPr>
                <w:rFonts w:ascii="Arial" w:hAnsi="Arial" w:cs="Arial"/>
                <w:bCs/>
                <w:u w:val="single"/>
              </w:rPr>
            </w:pPr>
            <w:r w:rsidRPr="00E044F3">
              <w:rPr>
                <w:rFonts w:ascii="Arial" w:hAnsi="Arial" w:cs="Arial"/>
                <w:bCs/>
                <w:u w:val="single"/>
              </w:rPr>
              <w:t>Study content</w:t>
            </w:r>
          </w:p>
          <w:p w14:paraId="3152AAF9" w14:textId="77777777" w:rsidR="00E05A18" w:rsidRDefault="00E05A18" w:rsidP="00E05A18">
            <w:pPr>
              <w:rPr>
                <w:rFonts w:ascii="Arial" w:hAnsi="Arial" w:cs="Arial"/>
                <w:bCs/>
              </w:rPr>
            </w:pPr>
          </w:p>
          <w:p w14:paraId="4B75CE8D" w14:textId="77777777" w:rsidR="00E05A18" w:rsidRDefault="00E05A18" w:rsidP="00E05A18">
            <w:pPr>
              <w:rPr>
                <w:rFonts w:ascii="Arial" w:hAnsi="Arial" w:cs="Arial"/>
                <w:bCs/>
              </w:rPr>
            </w:pPr>
            <w:r>
              <w:rPr>
                <w:rFonts w:ascii="Arial" w:hAnsi="Arial" w:cs="Arial"/>
                <w:bCs/>
              </w:rPr>
              <w:t xml:space="preserve">During 2020-21, the name of the program was changed to Applied Economics and Sustainability to express more adequately what the program content stresses and to underline the School’s mission. ECN303 (Impact Assessment) was added to the core requirements to bolster the quantitative analysis within the program, increasing the required coursework to 50 ECTS. The strengthening of the quantitative analysis continued for the 2021-23 program when BUS350 (Introduction to Data Analysis) raised the core requirements to 55 ECTS. These new requirements are to ensure that quantitative skills and the ability to use data are further developed in each semester that students take courses. This should improve the thesis research and the interpretation of the results of students’ analysis. </w:t>
            </w:r>
          </w:p>
          <w:p w14:paraId="0181C4A1" w14:textId="77777777" w:rsidR="00E05A18" w:rsidRDefault="00E05A18" w:rsidP="00E05A18">
            <w:pPr>
              <w:rPr>
                <w:rFonts w:ascii="Arial" w:hAnsi="Arial" w:cs="Arial"/>
                <w:bCs/>
              </w:rPr>
            </w:pPr>
          </w:p>
          <w:p w14:paraId="6A60F9F3" w14:textId="77777777" w:rsidR="00E05A18" w:rsidRDefault="00E05A18" w:rsidP="00E05A18">
            <w:pPr>
              <w:rPr>
                <w:rFonts w:ascii="Arial" w:hAnsi="Arial" w:cs="Arial"/>
                <w:bCs/>
              </w:rPr>
            </w:pPr>
            <w:r>
              <w:rPr>
                <w:rFonts w:ascii="Arial" w:hAnsi="Arial" w:cs="Arial"/>
                <w:bCs/>
              </w:rPr>
              <w:t>In table 3 the overall score on student satisfaction with the program improved to 4,0 from a score of 3,8 received in each year since 2018. This can reflect improvements in various aspects of the program in addition to a general sense of satisfaction of returning to campus after the lifting of covid-19 restrictions and digital instruction. In contrast to previous years, the score on overall satisfaction reflects the general satisfaction across the 11 individual categories of indicators (e.g., teaching, feedback, expectations, study environment, organization, ability to inspire, own engagement, expectations, digital tools, connection to work life, and physical learning environment and infrastructure). In previous years, the overall score did not adequately reflect the average of scores on individual indicators, making it difficult to interpret the meaning of the overall satisfaction. For example, the overall score was lower than scores across most indicators, meaning that one poor score on an indicator seem to be weighing more heavily than better scores across most indicators.</w:t>
            </w:r>
          </w:p>
          <w:p w14:paraId="2561D897" w14:textId="77777777" w:rsidR="00E05A18" w:rsidRDefault="00E05A18" w:rsidP="00E05A18">
            <w:pPr>
              <w:rPr>
                <w:rFonts w:ascii="Arial" w:hAnsi="Arial" w:cs="Arial"/>
                <w:bCs/>
              </w:rPr>
            </w:pPr>
          </w:p>
          <w:p w14:paraId="35BEDAB8" w14:textId="77777777" w:rsidR="00E05A18" w:rsidRDefault="00E05A18" w:rsidP="00E05A18">
            <w:pPr>
              <w:rPr>
                <w:rFonts w:ascii="Arial" w:hAnsi="Arial" w:cs="Arial"/>
                <w:bCs/>
              </w:rPr>
            </w:pPr>
          </w:p>
          <w:p w14:paraId="75D991B8" w14:textId="77777777" w:rsidR="00E05A18" w:rsidRDefault="00E05A18" w:rsidP="00E05A18">
            <w:pPr>
              <w:rPr>
                <w:rFonts w:ascii="Arial" w:hAnsi="Arial" w:cs="Arial"/>
                <w:bCs/>
              </w:rPr>
            </w:pPr>
            <w:r>
              <w:rPr>
                <w:rFonts w:ascii="Arial" w:hAnsi="Arial" w:cs="Arial"/>
                <w:bCs/>
              </w:rPr>
              <w:lastRenderedPageBreak/>
              <w:t xml:space="preserve">Table 3. Student satisfaction, all-in-all </w:t>
            </w:r>
          </w:p>
          <w:tbl>
            <w:tblPr>
              <w:tblStyle w:val="TableGrid"/>
              <w:tblW w:w="0" w:type="auto"/>
              <w:tblLook w:val="04A0" w:firstRow="1" w:lastRow="0" w:firstColumn="1" w:lastColumn="0" w:noHBand="0" w:noVBand="1"/>
            </w:tblPr>
            <w:tblGrid>
              <w:gridCol w:w="1299"/>
              <w:gridCol w:w="2126"/>
            </w:tblGrid>
            <w:tr w:rsidR="00E05A18" w:rsidRPr="00B3531A" w14:paraId="6B13B9CF" w14:textId="77777777" w:rsidTr="00161F5D">
              <w:tc>
                <w:tcPr>
                  <w:tcW w:w="1299" w:type="dxa"/>
                </w:tcPr>
                <w:p w14:paraId="36B8279F" w14:textId="77777777" w:rsidR="00E05A18" w:rsidRDefault="00E05A18" w:rsidP="00E05A18">
                  <w:pPr>
                    <w:rPr>
                      <w:rFonts w:ascii="Arial" w:hAnsi="Arial" w:cs="Arial"/>
                      <w:bCs/>
                    </w:rPr>
                  </w:pPr>
                </w:p>
              </w:tc>
              <w:tc>
                <w:tcPr>
                  <w:tcW w:w="2126" w:type="dxa"/>
                </w:tcPr>
                <w:p w14:paraId="51D4C844" w14:textId="77777777" w:rsidR="00E05A18" w:rsidRDefault="00E05A18" w:rsidP="00E05A18">
                  <w:pPr>
                    <w:jc w:val="center"/>
                    <w:rPr>
                      <w:rFonts w:ascii="Arial" w:hAnsi="Arial" w:cs="Arial"/>
                      <w:bCs/>
                    </w:rPr>
                  </w:pPr>
                  <w:r>
                    <w:rPr>
                      <w:rFonts w:ascii="Arial" w:hAnsi="Arial" w:cs="Arial"/>
                      <w:bCs/>
                    </w:rPr>
                    <w:t>All-in-all</w:t>
                  </w:r>
                </w:p>
              </w:tc>
            </w:tr>
            <w:tr w:rsidR="00E05A18" w:rsidRPr="00B3531A" w14:paraId="3D8A93EE" w14:textId="77777777" w:rsidTr="00161F5D">
              <w:tc>
                <w:tcPr>
                  <w:tcW w:w="1299" w:type="dxa"/>
                </w:tcPr>
                <w:p w14:paraId="6ECC239F" w14:textId="77777777" w:rsidR="00E05A18" w:rsidRDefault="00E05A18" w:rsidP="00E05A18">
                  <w:pPr>
                    <w:jc w:val="center"/>
                    <w:rPr>
                      <w:rFonts w:ascii="Arial" w:hAnsi="Arial" w:cs="Arial"/>
                      <w:bCs/>
                    </w:rPr>
                  </w:pPr>
                  <w:r>
                    <w:rPr>
                      <w:rFonts w:ascii="Arial" w:hAnsi="Arial" w:cs="Arial"/>
                      <w:bCs/>
                    </w:rPr>
                    <w:t>2021</w:t>
                  </w:r>
                </w:p>
              </w:tc>
              <w:tc>
                <w:tcPr>
                  <w:tcW w:w="2126" w:type="dxa"/>
                </w:tcPr>
                <w:p w14:paraId="287F7A7B" w14:textId="77777777" w:rsidR="00E05A18" w:rsidRDefault="00E05A18" w:rsidP="00E05A18">
                  <w:pPr>
                    <w:jc w:val="center"/>
                    <w:rPr>
                      <w:rFonts w:ascii="Arial" w:hAnsi="Arial" w:cs="Arial"/>
                      <w:bCs/>
                    </w:rPr>
                  </w:pPr>
                  <w:r>
                    <w:rPr>
                      <w:rFonts w:ascii="Arial" w:hAnsi="Arial" w:cs="Arial"/>
                      <w:bCs/>
                    </w:rPr>
                    <w:t>4,0</w:t>
                  </w:r>
                </w:p>
              </w:tc>
            </w:tr>
            <w:tr w:rsidR="00E05A18" w:rsidRPr="00B3531A" w14:paraId="54D15E5F" w14:textId="77777777" w:rsidTr="00161F5D">
              <w:tc>
                <w:tcPr>
                  <w:tcW w:w="1299" w:type="dxa"/>
                </w:tcPr>
                <w:p w14:paraId="0859E3BC" w14:textId="77777777" w:rsidR="00E05A18" w:rsidRDefault="00E05A18" w:rsidP="00E05A18">
                  <w:pPr>
                    <w:jc w:val="center"/>
                    <w:rPr>
                      <w:rFonts w:ascii="Arial" w:hAnsi="Arial" w:cs="Arial"/>
                      <w:bCs/>
                    </w:rPr>
                  </w:pPr>
                  <w:r>
                    <w:rPr>
                      <w:rFonts w:ascii="Arial" w:hAnsi="Arial" w:cs="Arial"/>
                      <w:bCs/>
                    </w:rPr>
                    <w:t>2020</w:t>
                  </w:r>
                </w:p>
              </w:tc>
              <w:tc>
                <w:tcPr>
                  <w:tcW w:w="2126" w:type="dxa"/>
                </w:tcPr>
                <w:p w14:paraId="7B8267B4" w14:textId="77777777" w:rsidR="00E05A18" w:rsidRDefault="00E05A18" w:rsidP="00E05A18">
                  <w:pPr>
                    <w:jc w:val="center"/>
                    <w:rPr>
                      <w:rFonts w:ascii="Arial" w:hAnsi="Arial" w:cs="Arial"/>
                      <w:bCs/>
                    </w:rPr>
                  </w:pPr>
                  <w:r>
                    <w:rPr>
                      <w:rFonts w:ascii="Arial" w:hAnsi="Arial" w:cs="Arial"/>
                      <w:bCs/>
                    </w:rPr>
                    <w:t>3,8</w:t>
                  </w:r>
                </w:p>
              </w:tc>
            </w:tr>
            <w:tr w:rsidR="00E05A18" w:rsidRPr="00B3531A" w14:paraId="0C64F1E5" w14:textId="77777777" w:rsidTr="00161F5D">
              <w:tc>
                <w:tcPr>
                  <w:tcW w:w="1299" w:type="dxa"/>
                </w:tcPr>
                <w:p w14:paraId="7F1E579F" w14:textId="77777777" w:rsidR="00E05A18" w:rsidRDefault="00E05A18" w:rsidP="00E05A18">
                  <w:pPr>
                    <w:jc w:val="center"/>
                    <w:rPr>
                      <w:rFonts w:ascii="Arial" w:hAnsi="Arial" w:cs="Arial"/>
                      <w:bCs/>
                    </w:rPr>
                  </w:pPr>
                  <w:r>
                    <w:rPr>
                      <w:rFonts w:ascii="Arial" w:hAnsi="Arial" w:cs="Arial"/>
                      <w:bCs/>
                    </w:rPr>
                    <w:t>2019</w:t>
                  </w:r>
                </w:p>
              </w:tc>
              <w:tc>
                <w:tcPr>
                  <w:tcW w:w="2126" w:type="dxa"/>
                </w:tcPr>
                <w:p w14:paraId="4A146B4B" w14:textId="77777777" w:rsidR="00E05A18" w:rsidRDefault="00E05A18" w:rsidP="00E05A18">
                  <w:pPr>
                    <w:jc w:val="center"/>
                    <w:rPr>
                      <w:rFonts w:ascii="Arial" w:hAnsi="Arial" w:cs="Arial"/>
                      <w:bCs/>
                    </w:rPr>
                  </w:pPr>
                  <w:r>
                    <w:rPr>
                      <w:rFonts w:ascii="Arial" w:hAnsi="Arial" w:cs="Arial"/>
                      <w:bCs/>
                    </w:rPr>
                    <w:t>3,8</w:t>
                  </w:r>
                </w:p>
              </w:tc>
            </w:tr>
            <w:tr w:rsidR="00E05A18" w:rsidRPr="00B3531A" w14:paraId="17D7AEAD" w14:textId="77777777" w:rsidTr="00161F5D">
              <w:tc>
                <w:tcPr>
                  <w:tcW w:w="1299" w:type="dxa"/>
                </w:tcPr>
                <w:p w14:paraId="17A082E9" w14:textId="77777777" w:rsidR="00E05A18" w:rsidRDefault="00E05A18" w:rsidP="00E05A18">
                  <w:pPr>
                    <w:jc w:val="center"/>
                    <w:rPr>
                      <w:rFonts w:ascii="Arial" w:hAnsi="Arial" w:cs="Arial"/>
                      <w:bCs/>
                    </w:rPr>
                  </w:pPr>
                  <w:r>
                    <w:rPr>
                      <w:rFonts w:ascii="Arial" w:hAnsi="Arial" w:cs="Arial"/>
                      <w:bCs/>
                    </w:rPr>
                    <w:t>2018</w:t>
                  </w:r>
                </w:p>
              </w:tc>
              <w:tc>
                <w:tcPr>
                  <w:tcW w:w="2126" w:type="dxa"/>
                </w:tcPr>
                <w:p w14:paraId="03CAD846" w14:textId="77777777" w:rsidR="00E05A18" w:rsidRDefault="00E05A18" w:rsidP="00E05A18">
                  <w:pPr>
                    <w:jc w:val="center"/>
                    <w:rPr>
                      <w:rFonts w:ascii="Arial" w:hAnsi="Arial" w:cs="Arial"/>
                      <w:bCs/>
                    </w:rPr>
                  </w:pPr>
                  <w:r>
                    <w:rPr>
                      <w:rFonts w:ascii="Arial" w:hAnsi="Arial" w:cs="Arial"/>
                      <w:bCs/>
                    </w:rPr>
                    <w:t>3,8</w:t>
                  </w:r>
                </w:p>
              </w:tc>
            </w:tr>
          </w:tbl>
          <w:p w14:paraId="4854F3FF" w14:textId="77777777" w:rsidR="00E05A18" w:rsidRDefault="00E05A18" w:rsidP="00E05A18">
            <w:pPr>
              <w:pStyle w:val="TableParagraph"/>
              <w:spacing w:line="276" w:lineRule="auto"/>
              <w:ind w:right="262"/>
              <w:rPr>
                <w:rFonts w:ascii="Arial" w:hAnsi="Arial" w:cs="Arial"/>
                <w:b/>
                <w:sz w:val="18"/>
                <w:szCs w:val="18"/>
              </w:rPr>
            </w:pPr>
            <w:r>
              <w:rPr>
                <w:rFonts w:ascii="Arial" w:hAnsi="Arial" w:cs="Arial"/>
                <w:b/>
                <w:sz w:val="18"/>
                <w:szCs w:val="18"/>
              </w:rPr>
              <w:t>Source</w:t>
            </w:r>
            <w:r w:rsidRPr="00E61DE8">
              <w:rPr>
                <w:rFonts w:ascii="Arial" w:hAnsi="Arial" w:cs="Arial"/>
                <w:b/>
                <w:sz w:val="18"/>
                <w:szCs w:val="18"/>
              </w:rPr>
              <w:t xml:space="preserve">: </w:t>
            </w:r>
            <w:r>
              <w:rPr>
                <w:rFonts w:ascii="Arial" w:hAnsi="Arial" w:cs="Arial"/>
                <w:b/>
                <w:sz w:val="18"/>
                <w:szCs w:val="18"/>
              </w:rPr>
              <w:t>Studiebarometeret</w:t>
            </w:r>
          </w:p>
          <w:p w14:paraId="7E214C9C" w14:textId="22706737" w:rsidR="00E05A18" w:rsidRDefault="00E05A18" w:rsidP="00E05A18">
            <w:pPr>
              <w:rPr>
                <w:rFonts w:ascii="Arial" w:hAnsi="Arial" w:cs="Arial"/>
                <w:bCs/>
              </w:rPr>
            </w:pPr>
          </w:p>
          <w:p w14:paraId="24D38DB7" w14:textId="23B9BB53" w:rsidR="009C29AA" w:rsidRDefault="009C29AA" w:rsidP="00E05A18">
            <w:pPr>
              <w:rPr>
                <w:rFonts w:ascii="Arial" w:hAnsi="Arial" w:cs="Arial"/>
                <w:bCs/>
              </w:rPr>
            </w:pPr>
          </w:p>
          <w:p w14:paraId="2754145A" w14:textId="5CF671CE" w:rsidR="009C29AA" w:rsidRPr="009C29AA" w:rsidRDefault="009C29AA" w:rsidP="00E05A18">
            <w:pPr>
              <w:rPr>
                <w:rFonts w:ascii="Arial" w:hAnsi="Arial" w:cs="Arial"/>
                <w:bCs/>
                <w:u w:val="single"/>
              </w:rPr>
            </w:pPr>
            <w:r w:rsidRPr="009C29AA">
              <w:rPr>
                <w:rFonts w:ascii="Arial" w:hAnsi="Arial" w:cs="Arial"/>
                <w:bCs/>
                <w:u w:val="single"/>
              </w:rPr>
              <w:t>Internationalization</w:t>
            </w:r>
          </w:p>
          <w:p w14:paraId="7578D22F" w14:textId="555B1706" w:rsidR="009C29AA" w:rsidRDefault="009C29AA" w:rsidP="00E05A18">
            <w:pPr>
              <w:rPr>
                <w:rFonts w:ascii="Arial" w:hAnsi="Arial" w:cs="Arial"/>
                <w:bCs/>
              </w:rPr>
            </w:pPr>
          </w:p>
          <w:p w14:paraId="07A72E25" w14:textId="77777777" w:rsidR="00AD0E08" w:rsidRDefault="00410A9E" w:rsidP="00E05A18">
            <w:pPr>
              <w:rPr>
                <w:rFonts w:ascii="Arial" w:hAnsi="Arial" w:cs="Arial"/>
                <w:bCs/>
              </w:rPr>
            </w:pPr>
            <w:r>
              <w:rPr>
                <w:rFonts w:ascii="Arial" w:hAnsi="Arial" w:cs="Arial"/>
                <w:bCs/>
              </w:rPr>
              <w:t>The School</w:t>
            </w:r>
            <w:r w:rsidR="004528D8">
              <w:rPr>
                <w:rFonts w:ascii="Arial" w:hAnsi="Arial" w:cs="Arial"/>
                <w:bCs/>
              </w:rPr>
              <w:t xml:space="preserve">’s ambitions include to recruit more </w:t>
            </w:r>
            <w:r w:rsidR="000C4321">
              <w:rPr>
                <w:rFonts w:ascii="Arial" w:hAnsi="Arial" w:cs="Arial"/>
                <w:bCs/>
              </w:rPr>
              <w:t xml:space="preserve">student exchanges and/or recruitment of more </w:t>
            </w:r>
            <w:r w:rsidR="00A331CF">
              <w:rPr>
                <w:rFonts w:ascii="Arial" w:hAnsi="Arial" w:cs="Arial"/>
                <w:bCs/>
              </w:rPr>
              <w:t xml:space="preserve">foreign </w:t>
            </w:r>
            <w:r w:rsidR="000C4321">
              <w:rPr>
                <w:rFonts w:ascii="Arial" w:hAnsi="Arial" w:cs="Arial"/>
                <w:bCs/>
              </w:rPr>
              <w:t>students</w:t>
            </w:r>
            <w:r w:rsidR="00A331CF">
              <w:rPr>
                <w:rFonts w:ascii="Arial" w:hAnsi="Arial" w:cs="Arial"/>
                <w:bCs/>
              </w:rPr>
              <w:t xml:space="preserve"> to the programs. </w:t>
            </w:r>
            <w:r w:rsidR="00770D7A">
              <w:rPr>
                <w:rFonts w:ascii="Arial" w:hAnsi="Arial" w:cs="Arial"/>
                <w:bCs/>
              </w:rPr>
              <w:t xml:space="preserve">Each composition of </w:t>
            </w:r>
            <w:r w:rsidR="00375371">
              <w:rPr>
                <w:rFonts w:ascii="Arial" w:hAnsi="Arial" w:cs="Arial"/>
                <w:bCs/>
              </w:rPr>
              <w:t xml:space="preserve">students to the M-ECON program is almost always structured as 50% foreigners and 50% Norwegians. The program is an English language class, so all </w:t>
            </w:r>
            <w:r w:rsidR="005C4F23">
              <w:rPr>
                <w:rFonts w:ascii="Arial" w:hAnsi="Arial" w:cs="Arial"/>
                <w:bCs/>
              </w:rPr>
              <w:t xml:space="preserve">required courses, core specialization courses and electives are taught in English. </w:t>
            </w:r>
            <w:r w:rsidR="0080128E">
              <w:rPr>
                <w:rFonts w:ascii="Arial" w:hAnsi="Arial" w:cs="Arial"/>
                <w:bCs/>
              </w:rPr>
              <w:t xml:space="preserve">A larger selection of economics courses at the bachelor level and business courses are now being instructed in English. This should </w:t>
            </w:r>
            <w:r w:rsidR="00E12878">
              <w:rPr>
                <w:rFonts w:ascii="Arial" w:hAnsi="Arial" w:cs="Arial"/>
                <w:bCs/>
              </w:rPr>
              <w:t xml:space="preserve">make it easier for foreign exchange students to study at NMBU and </w:t>
            </w:r>
            <w:r w:rsidR="00AD0E08">
              <w:rPr>
                <w:rFonts w:ascii="Arial" w:hAnsi="Arial" w:cs="Arial"/>
                <w:bCs/>
              </w:rPr>
              <w:t xml:space="preserve">increase the likelihood that students will take M-ECON courses. </w:t>
            </w:r>
          </w:p>
          <w:p w14:paraId="5854B711" w14:textId="77777777" w:rsidR="004B4438" w:rsidRDefault="004B4438" w:rsidP="00E05A18">
            <w:pPr>
              <w:rPr>
                <w:rFonts w:ascii="Arial" w:hAnsi="Arial" w:cs="Arial"/>
                <w:bCs/>
              </w:rPr>
            </w:pPr>
          </w:p>
          <w:p w14:paraId="384C249F" w14:textId="13D90F13" w:rsidR="004B4438" w:rsidRDefault="004B4438" w:rsidP="00E05A18">
            <w:pPr>
              <w:rPr>
                <w:rFonts w:ascii="Arial" w:hAnsi="Arial" w:cs="Arial"/>
                <w:bCs/>
              </w:rPr>
            </w:pPr>
            <w:r>
              <w:rPr>
                <w:rFonts w:ascii="Arial" w:hAnsi="Arial" w:cs="Arial"/>
                <w:bCs/>
              </w:rPr>
              <w:t>For M-ECON students, the program leader has</w:t>
            </w:r>
            <w:r w:rsidR="007657C0">
              <w:rPr>
                <w:rFonts w:ascii="Arial" w:hAnsi="Arial" w:cs="Arial"/>
                <w:bCs/>
              </w:rPr>
              <w:t xml:space="preserve"> worked with the student advisor to</w:t>
            </w:r>
            <w:r w:rsidR="004C77E8">
              <w:rPr>
                <w:rFonts w:ascii="Arial" w:hAnsi="Arial" w:cs="Arial"/>
                <w:bCs/>
              </w:rPr>
              <w:t xml:space="preserve"> show utmost flexibility in allowing students the opportunity to participate in semester exchanges</w:t>
            </w:r>
            <w:r w:rsidR="001F4987">
              <w:rPr>
                <w:rFonts w:ascii="Arial" w:hAnsi="Arial" w:cs="Arial"/>
                <w:bCs/>
              </w:rPr>
              <w:t xml:space="preserve"> (during the autumn of the second year)</w:t>
            </w:r>
            <w:r w:rsidR="00867B8E">
              <w:rPr>
                <w:rFonts w:ascii="Arial" w:hAnsi="Arial" w:cs="Arial"/>
                <w:bCs/>
              </w:rPr>
              <w:t xml:space="preserve"> </w:t>
            </w:r>
            <w:r w:rsidR="00AA7D79">
              <w:rPr>
                <w:rFonts w:ascii="Arial" w:hAnsi="Arial" w:cs="Arial"/>
                <w:bCs/>
              </w:rPr>
              <w:t xml:space="preserve">by finding solutions </w:t>
            </w:r>
            <w:r w:rsidR="00B20B9C">
              <w:rPr>
                <w:rFonts w:ascii="Arial" w:hAnsi="Arial" w:cs="Arial"/>
                <w:bCs/>
              </w:rPr>
              <w:t xml:space="preserve">for those students </w:t>
            </w:r>
            <w:r w:rsidR="00AA7D79">
              <w:rPr>
                <w:rFonts w:ascii="Arial" w:hAnsi="Arial" w:cs="Arial"/>
                <w:bCs/>
              </w:rPr>
              <w:t xml:space="preserve">to satisfy </w:t>
            </w:r>
            <w:r w:rsidR="00C001CF">
              <w:rPr>
                <w:rFonts w:ascii="Arial" w:hAnsi="Arial" w:cs="Arial"/>
                <w:bCs/>
              </w:rPr>
              <w:t xml:space="preserve">the </w:t>
            </w:r>
            <w:r w:rsidR="00AA7D79">
              <w:rPr>
                <w:rFonts w:ascii="Arial" w:hAnsi="Arial" w:cs="Arial"/>
                <w:bCs/>
              </w:rPr>
              <w:t xml:space="preserve">required </w:t>
            </w:r>
            <w:r w:rsidR="001F4987">
              <w:rPr>
                <w:rFonts w:ascii="Arial" w:hAnsi="Arial" w:cs="Arial"/>
                <w:bCs/>
              </w:rPr>
              <w:t xml:space="preserve">courses that </w:t>
            </w:r>
            <w:r w:rsidR="006E32E3">
              <w:rPr>
                <w:rFonts w:ascii="Arial" w:hAnsi="Arial" w:cs="Arial"/>
                <w:bCs/>
              </w:rPr>
              <w:t>are offered at NMBU (</w:t>
            </w:r>
            <w:r w:rsidR="00C32D57">
              <w:rPr>
                <w:rFonts w:ascii="Arial" w:hAnsi="Arial" w:cs="Arial"/>
                <w:bCs/>
              </w:rPr>
              <w:t xml:space="preserve">e.g., ECN305 Research Methods, and </w:t>
            </w:r>
            <w:r w:rsidR="00616163">
              <w:rPr>
                <w:rFonts w:ascii="Arial" w:hAnsi="Arial" w:cs="Arial"/>
                <w:bCs/>
              </w:rPr>
              <w:t>ECN303 Impact Assessment)</w:t>
            </w:r>
            <w:r w:rsidR="00D849A4">
              <w:rPr>
                <w:rFonts w:ascii="Arial" w:hAnsi="Arial" w:cs="Arial"/>
                <w:bCs/>
              </w:rPr>
              <w:t xml:space="preserve"> only during that semester of their program</w:t>
            </w:r>
            <w:r w:rsidR="00616163">
              <w:rPr>
                <w:rFonts w:ascii="Arial" w:hAnsi="Arial" w:cs="Arial"/>
                <w:bCs/>
              </w:rPr>
              <w:t xml:space="preserve">. </w:t>
            </w:r>
          </w:p>
          <w:p w14:paraId="228F207E" w14:textId="5E4C830B" w:rsidR="00410A9E" w:rsidRDefault="00770D7A" w:rsidP="00E05A18">
            <w:pPr>
              <w:rPr>
                <w:rFonts w:ascii="Arial" w:hAnsi="Arial" w:cs="Arial"/>
                <w:bCs/>
              </w:rPr>
            </w:pPr>
            <w:r>
              <w:rPr>
                <w:rFonts w:ascii="Arial" w:hAnsi="Arial" w:cs="Arial"/>
                <w:bCs/>
              </w:rPr>
              <w:t xml:space="preserve"> </w:t>
            </w:r>
            <w:r w:rsidR="000C4321">
              <w:rPr>
                <w:rFonts w:ascii="Arial" w:hAnsi="Arial" w:cs="Arial"/>
                <w:bCs/>
              </w:rPr>
              <w:t xml:space="preserve"> </w:t>
            </w:r>
          </w:p>
          <w:p w14:paraId="089A8E86" w14:textId="3C2DFD71" w:rsidR="009C29AA" w:rsidRDefault="003B292C" w:rsidP="00E05A18">
            <w:pPr>
              <w:rPr>
                <w:rFonts w:ascii="Arial" w:hAnsi="Arial" w:cs="Arial"/>
                <w:bCs/>
              </w:rPr>
            </w:pPr>
            <w:r>
              <w:rPr>
                <w:rFonts w:ascii="Arial" w:hAnsi="Arial" w:cs="Arial"/>
                <w:bCs/>
              </w:rPr>
              <w:t>NMBU’s International Action Plan for 2020-23 prioritized four areas:</w:t>
            </w:r>
          </w:p>
          <w:p w14:paraId="5A410E9F" w14:textId="77777777" w:rsidR="00410A9E" w:rsidRDefault="00410A9E" w:rsidP="00410A9E">
            <w:pPr>
              <w:rPr>
                <w:rFonts w:ascii="Arial" w:hAnsi="Arial" w:cs="Arial"/>
              </w:rPr>
            </w:pPr>
          </w:p>
          <w:p w14:paraId="0CDAC806" w14:textId="77777777" w:rsidR="00410A9E" w:rsidRDefault="00410A9E" w:rsidP="00410A9E">
            <w:pPr>
              <w:pStyle w:val="ListParagraph"/>
              <w:numPr>
                <w:ilvl w:val="0"/>
                <w:numId w:val="4"/>
              </w:numPr>
              <w:rPr>
                <w:rFonts w:ascii="Arial" w:hAnsi="Arial" w:cs="Arial"/>
                <w:lang w:val="en-US"/>
              </w:rPr>
            </w:pPr>
            <w:r>
              <w:rPr>
                <w:rFonts w:ascii="Arial" w:hAnsi="Arial" w:cs="Arial"/>
                <w:lang w:val="en-US"/>
              </w:rPr>
              <w:t>Strategic international research- and innovation collaboration</w:t>
            </w:r>
          </w:p>
          <w:p w14:paraId="403854FD" w14:textId="77777777" w:rsidR="00410A9E" w:rsidRDefault="00410A9E" w:rsidP="00410A9E">
            <w:pPr>
              <w:pStyle w:val="ListParagraph"/>
              <w:numPr>
                <w:ilvl w:val="0"/>
                <w:numId w:val="4"/>
              </w:numPr>
              <w:rPr>
                <w:rFonts w:ascii="Arial" w:hAnsi="Arial" w:cs="Arial"/>
                <w:lang w:val="en-US"/>
              </w:rPr>
            </w:pPr>
            <w:r>
              <w:rPr>
                <w:rFonts w:ascii="Arial" w:hAnsi="Arial" w:cs="Arial"/>
                <w:lang w:val="en-US"/>
              </w:rPr>
              <w:t>Strategic international education cooperation and increase internationalization of education</w:t>
            </w:r>
          </w:p>
          <w:p w14:paraId="4C213A56" w14:textId="77777777" w:rsidR="00410A9E" w:rsidRDefault="00410A9E" w:rsidP="00410A9E">
            <w:pPr>
              <w:pStyle w:val="ListParagraph"/>
              <w:numPr>
                <w:ilvl w:val="0"/>
                <w:numId w:val="4"/>
              </w:numPr>
              <w:rPr>
                <w:rFonts w:ascii="Arial" w:hAnsi="Arial" w:cs="Arial"/>
                <w:lang w:val="en-US"/>
              </w:rPr>
            </w:pPr>
            <w:r>
              <w:rPr>
                <w:rFonts w:ascii="Arial" w:hAnsi="Arial" w:cs="Arial"/>
                <w:lang w:val="en-US"/>
              </w:rPr>
              <w:t>Participation in European education-, research- and innovation collaboration</w:t>
            </w:r>
          </w:p>
          <w:p w14:paraId="31C7D993" w14:textId="77777777" w:rsidR="00410A9E" w:rsidRDefault="00410A9E" w:rsidP="00410A9E">
            <w:pPr>
              <w:pStyle w:val="ListParagraph"/>
              <w:numPr>
                <w:ilvl w:val="0"/>
                <w:numId w:val="4"/>
              </w:numPr>
              <w:rPr>
                <w:rFonts w:ascii="Arial" w:hAnsi="Arial" w:cs="Arial"/>
                <w:lang w:val="en-US"/>
              </w:rPr>
            </w:pPr>
            <w:r>
              <w:rPr>
                <w:rFonts w:ascii="Arial" w:hAnsi="Arial" w:cs="Arial"/>
                <w:lang w:val="en-US"/>
              </w:rPr>
              <w:t>International mobility</w:t>
            </w:r>
          </w:p>
          <w:p w14:paraId="5AF29832" w14:textId="77777777" w:rsidR="00410A9E" w:rsidRDefault="00410A9E" w:rsidP="00410A9E">
            <w:pPr>
              <w:rPr>
                <w:rFonts w:ascii="Arial" w:hAnsi="Arial" w:cs="Arial"/>
              </w:rPr>
            </w:pPr>
          </w:p>
          <w:p w14:paraId="27C58E0F" w14:textId="34947FAC" w:rsidR="00410A9E" w:rsidRDefault="00410A9E" w:rsidP="00410A9E">
            <w:pPr>
              <w:rPr>
                <w:rFonts w:ascii="Arial" w:hAnsi="Arial" w:cs="Arial"/>
              </w:rPr>
            </w:pPr>
            <w:r>
              <w:rPr>
                <w:rFonts w:ascii="Arial" w:hAnsi="Arial" w:cs="Arial"/>
              </w:rPr>
              <w:t>In this direction during 2020-21, M-ECON primarily contributed to submitted DIKU proposals for international cooperation agreements with southern and east African institutions involving research and teaching, and mobilization of students, including MSc students (but primarily at the PhD level). These proposals build on ongoing cooperation projects already funded by NORAD.</w:t>
            </w:r>
            <w:r w:rsidR="00375A6F">
              <w:rPr>
                <w:rFonts w:ascii="Arial" w:hAnsi="Arial" w:cs="Arial"/>
              </w:rPr>
              <w:t xml:space="preserve"> One NORPART project was </w:t>
            </w:r>
            <w:r w:rsidR="004C6A4E">
              <w:rPr>
                <w:rFonts w:ascii="Arial" w:hAnsi="Arial" w:cs="Arial"/>
              </w:rPr>
              <w:t xml:space="preserve">approved with collaboration with universities in Malawi, Kenya and Uganda. As part of that project there will be two </w:t>
            </w:r>
            <w:r w:rsidR="00696B1C">
              <w:rPr>
                <w:rFonts w:ascii="Arial" w:hAnsi="Arial" w:cs="Arial"/>
              </w:rPr>
              <w:t xml:space="preserve">full scholarship MSc students (one for M-ECON and one for Noragric). The project envisages input from Noragric in teaching a course and receiving </w:t>
            </w:r>
            <w:r w:rsidR="009571A0">
              <w:rPr>
                <w:rFonts w:ascii="Arial" w:hAnsi="Arial" w:cs="Arial"/>
              </w:rPr>
              <w:t>participating southern and east African researchers.</w:t>
            </w:r>
          </w:p>
          <w:p w14:paraId="719F4390" w14:textId="77777777" w:rsidR="003B292C" w:rsidRDefault="003B292C" w:rsidP="00E05A18">
            <w:pPr>
              <w:rPr>
                <w:rFonts w:ascii="Arial" w:hAnsi="Arial" w:cs="Arial"/>
                <w:bCs/>
              </w:rPr>
            </w:pPr>
          </w:p>
          <w:p w14:paraId="5E84E7BE" w14:textId="77777777" w:rsidR="00E05A18" w:rsidRDefault="00E05A18" w:rsidP="00E05A18">
            <w:pPr>
              <w:rPr>
                <w:rFonts w:ascii="Arial" w:hAnsi="Arial" w:cs="Arial"/>
              </w:rPr>
            </w:pPr>
          </w:p>
          <w:p w14:paraId="2BBB5398" w14:textId="77777777" w:rsidR="00E05A18" w:rsidRPr="007F73DA" w:rsidRDefault="00E05A18" w:rsidP="00E05A18">
            <w:pPr>
              <w:rPr>
                <w:rFonts w:ascii="Arial" w:hAnsi="Arial" w:cs="Arial"/>
                <w:u w:val="single"/>
              </w:rPr>
            </w:pPr>
            <w:r w:rsidRPr="007F73DA">
              <w:rPr>
                <w:rFonts w:ascii="Arial" w:hAnsi="Arial" w:cs="Arial"/>
                <w:u w:val="single"/>
              </w:rPr>
              <w:t xml:space="preserve">Organization and </w:t>
            </w:r>
            <w:r>
              <w:rPr>
                <w:rFonts w:ascii="Arial" w:hAnsi="Arial" w:cs="Arial"/>
                <w:u w:val="single"/>
              </w:rPr>
              <w:t>m</w:t>
            </w:r>
            <w:r w:rsidRPr="007F73DA">
              <w:rPr>
                <w:rFonts w:ascii="Arial" w:hAnsi="Arial" w:cs="Arial"/>
                <w:u w:val="single"/>
              </w:rPr>
              <w:t>anagemen</w:t>
            </w:r>
            <w:r>
              <w:rPr>
                <w:rFonts w:ascii="Arial" w:hAnsi="Arial" w:cs="Arial"/>
                <w:u w:val="single"/>
              </w:rPr>
              <w:t>t of the program</w:t>
            </w:r>
            <w:r w:rsidRPr="007F73DA">
              <w:rPr>
                <w:rFonts w:ascii="Arial" w:hAnsi="Arial" w:cs="Arial"/>
                <w:u w:val="single"/>
              </w:rPr>
              <w:t xml:space="preserve"> </w:t>
            </w:r>
          </w:p>
          <w:p w14:paraId="4C82B374" w14:textId="77777777" w:rsidR="00E05A18" w:rsidRDefault="00E05A18" w:rsidP="00E05A18">
            <w:pPr>
              <w:rPr>
                <w:rFonts w:ascii="Arial" w:hAnsi="Arial" w:cs="Arial"/>
              </w:rPr>
            </w:pPr>
          </w:p>
          <w:p w14:paraId="4D2B3CAF" w14:textId="77777777" w:rsidR="00E05A18" w:rsidRDefault="00E05A18" w:rsidP="00E05A18">
            <w:pPr>
              <w:rPr>
                <w:rFonts w:ascii="Arial" w:hAnsi="Arial" w:cs="Arial"/>
              </w:rPr>
            </w:pPr>
            <w:r w:rsidRPr="00E432BB">
              <w:rPr>
                <w:rFonts w:ascii="Arial" w:hAnsi="Arial" w:cs="Arial"/>
              </w:rPr>
              <w:t>The</w:t>
            </w:r>
            <w:r>
              <w:rPr>
                <w:rFonts w:ascii="Arial" w:hAnsi="Arial" w:cs="Arial"/>
              </w:rPr>
              <w:t xml:space="preserve"> organization and management of the program, unchanged from 2019, is the responsibility of the program council, comprised of the program leader, the program leader of the B-ECON program, additional members of the economics faculty, student representatives from each class, and a representative of the administrative staff. The mandate of the program council is unchanged and to fulfill the council’s mandate, the program leader has the council meet regularly, at least four times a year. The leader can call the council to meeting more often as needed. </w:t>
            </w:r>
          </w:p>
          <w:p w14:paraId="0EC3F3B9" w14:textId="77777777" w:rsidR="00E05A18" w:rsidRDefault="00E05A18" w:rsidP="00E05A18">
            <w:pPr>
              <w:rPr>
                <w:rFonts w:ascii="Arial" w:hAnsi="Arial" w:cs="Arial"/>
              </w:rPr>
            </w:pPr>
          </w:p>
          <w:p w14:paraId="0E69B423" w14:textId="77777777" w:rsidR="00E05A18" w:rsidRDefault="00E05A18" w:rsidP="00E05A18">
            <w:pPr>
              <w:rPr>
                <w:rFonts w:ascii="Arial" w:hAnsi="Arial" w:cs="Arial"/>
              </w:rPr>
            </w:pPr>
            <w:r>
              <w:rPr>
                <w:rFonts w:ascii="Arial" w:hAnsi="Arial" w:cs="Arial"/>
              </w:rPr>
              <w:t xml:space="preserve">In addition to the regular meetings of the program council to address specific aspects or problems related to the program or to discuss proposed changes to the program prior to their implementation, the School has institutional measures to seek direct feedback from </w:t>
            </w:r>
            <w:r>
              <w:rPr>
                <w:rFonts w:ascii="Arial" w:hAnsi="Arial" w:cs="Arial"/>
              </w:rPr>
              <w:lastRenderedPageBreak/>
              <w:t>the students on the courses and program through periodic meetings held during the spring semester. Students and teaching faculty are brought together to discuss course and teaching evaluations and how well the courses reflect the course content described in the course catalogue. It is also a chance to better understand what works or does not work in the courses, lectures, exercises, etc.</w:t>
            </w:r>
          </w:p>
          <w:p w14:paraId="08305179" w14:textId="77777777" w:rsidR="00E05A18" w:rsidRDefault="00E05A18" w:rsidP="00E05A18">
            <w:pPr>
              <w:rPr>
                <w:rFonts w:ascii="Arial" w:hAnsi="Arial" w:cs="Arial"/>
              </w:rPr>
            </w:pPr>
          </w:p>
          <w:p w14:paraId="40B24F9F" w14:textId="63B2097C" w:rsidR="00E05A18" w:rsidRDefault="00E05A18" w:rsidP="00E05A18">
            <w:pPr>
              <w:rPr>
                <w:rFonts w:ascii="Arial" w:hAnsi="Arial" w:cs="Arial"/>
              </w:rPr>
            </w:pPr>
            <w:r>
              <w:rPr>
                <w:rFonts w:ascii="Arial" w:hAnsi="Arial" w:cs="Arial"/>
              </w:rPr>
              <w:t xml:space="preserve">The level of satisfaction with the organization and management of the program should reflect how well the leader and the council can respond to problems that arise and address issues raised by the students. In 2021, the score on this indicator was 3,8 the same as it was in 2019 prior to covid. </w:t>
            </w:r>
          </w:p>
          <w:p w14:paraId="4022D3F5" w14:textId="77777777" w:rsidR="00F85306" w:rsidRDefault="00F85306" w:rsidP="00E05A18">
            <w:pPr>
              <w:rPr>
                <w:rFonts w:ascii="Arial" w:hAnsi="Arial" w:cs="Arial"/>
              </w:rPr>
            </w:pPr>
          </w:p>
          <w:p w14:paraId="13A5573D" w14:textId="77777777" w:rsidR="00E05A18" w:rsidRDefault="00E05A18" w:rsidP="00E05A18">
            <w:pPr>
              <w:rPr>
                <w:rFonts w:ascii="Arial" w:hAnsi="Arial" w:cs="Arial"/>
              </w:rPr>
            </w:pPr>
          </w:p>
          <w:p w14:paraId="0F111AC9" w14:textId="77777777" w:rsidR="00F85306" w:rsidRPr="007F73DA" w:rsidRDefault="00F85306" w:rsidP="00F85306">
            <w:pPr>
              <w:rPr>
                <w:rFonts w:ascii="Arial" w:hAnsi="Arial" w:cs="Arial"/>
                <w:u w:val="single"/>
              </w:rPr>
            </w:pPr>
            <w:r w:rsidRPr="007F73DA">
              <w:rPr>
                <w:rFonts w:ascii="Arial" w:hAnsi="Arial" w:cs="Arial"/>
                <w:u w:val="single"/>
              </w:rPr>
              <w:t>Student participation and influence over program design</w:t>
            </w:r>
          </w:p>
          <w:p w14:paraId="1E3D59DA" w14:textId="77777777" w:rsidR="00F85306" w:rsidRDefault="00F85306" w:rsidP="00F85306">
            <w:pPr>
              <w:rPr>
                <w:rFonts w:ascii="Arial" w:hAnsi="Arial" w:cs="Arial"/>
              </w:rPr>
            </w:pPr>
          </w:p>
          <w:p w14:paraId="32ACC8F4" w14:textId="77777777" w:rsidR="00F85306" w:rsidRDefault="00F85306" w:rsidP="00F85306">
            <w:pPr>
              <w:rPr>
                <w:rFonts w:ascii="Arial" w:hAnsi="Arial" w:cs="Arial"/>
              </w:rPr>
            </w:pPr>
            <w:r>
              <w:rPr>
                <w:rFonts w:ascii="Arial" w:hAnsi="Arial" w:cs="Arial"/>
              </w:rPr>
              <w:t xml:space="preserve">There are three avenues by which students can affect change or raise issues to the attention of the faculty. First, a student can approach the student advisor or program leader to alert them of a problem. This usually involves a particular problem in a course or with an instructor during the semester. Second, there are measures in place, through the program council, that permit and encourage student representatives formally participating in the early stages of discussions involving any proposed program changes or to raise issues with the program. The student representatives on the council communicate the proposed changes with their classmates or present to the council the concerns raised by their classmates. Finally, there are the periodic meetings. Invitations are extended to all students in the program to discuss in open forum (with instructors who are present) issues of interest or concern (course content, teaching methods, specializations, student life, insight into the scores from student evaluations, etc.). This is an opportunity for students to raise issues, offer advice and suggestions, and provide more insight into what is working well and what might require more attention on aspects related to the program. </w:t>
            </w:r>
          </w:p>
          <w:p w14:paraId="29A5FA6E" w14:textId="77777777" w:rsidR="00F85306" w:rsidRDefault="00F85306" w:rsidP="00F85306">
            <w:pPr>
              <w:rPr>
                <w:rFonts w:ascii="Arial" w:hAnsi="Arial" w:cs="Arial"/>
              </w:rPr>
            </w:pPr>
          </w:p>
          <w:p w14:paraId="4FE31144" w14:textId="1B5A718D" w:rsidR="00670D02" w:rsidRPr="00F85306" w:rsidRDefault="00F85306" w:rsidP="00F85306">
            <w:pPr>
              <w:rPr>
                <w:rFonts w:ascii="Arial" w:hAnsi="Arial" w:cs="Arial"/>
              </w:rPr>
            </w:pPr>
            <w:r>
              <w:rPr>
                <w:rFonts w:ascii="Arial" w:hAnsi="Arial" w:cs="Arial"/>
              </w:rPr>
              <w:t xml:space="preserve">A question on the 2021 survey that relates to participation (i.e., opportunity for the student to give input on the content and structure of the program) yielded a score of 3,7 (the same score as in 2019). In previous years, there has been difficulty in finding students willing to serve as representatives to the program council and few actively participated in the open forum discussions. In 2021-22 there was considerable interest among the first-year class to serve as student representative on the program council, but there were still too few students who were present at the periodic meeting despite efforts to encourage participation. One obvious challenge, of course, is that cultural norms might be a big barrier to face-to-face meetings involving instructors and students. However, this could also be uncomfortable for the domestic students. </w:t>
            </w:r>
          </w:p>
          <w:p w14:paraId="180DDFBE" w14:textId="7C1C0783" w:rsidR="00443D42" w:rsidRDefault="00443D42" w:rsidP="00571A14">
            <w:pPr>
              <w:autoSpaceDE w:val="0"/>
              <w:autoSpaceDN w:val="0"/>
              <w:adjustRightInd w:val="0"/>
              <w:rPr>
                <w:rFonts w:ascii="Times New Roman" w:hAnsi="Times New Roman" w:cs="Times New Roman"/>
                <w:sz w:val="24"/>
                <w:szCs w:val="24"/>
              </w:rPr>
            </w:pPr>
          </w:p>
        </w:tc>
      </w:tr>
      <w:tr w:rsidR="001401A3" w14:paraId="0ABE03E8" w14:textId="77777777" w:rsidTr="00443D42">
        <w:tc>
          <w:tcPr>
            <w:tcW w:w="9016" w:type="dxa"/>
            <w:shd w:val="clear" w:color="auto" w:fill="E2EFD9" w:themeFill="accent6" w:themeFillTint="33"/>
          </w:tcPr>
          <w:p w14:paraId="036050AE" w14:textId="77777777" w:rsidR="001401A3" w:rsidRDefault="00443D42"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Learning</w:t>
            </w:r>
          </w:p>
          <w:p w14:paraId="49C44CAA" w14:textId="1B424CA3" w:rsidR="00443D42" w:rsidRDefault="00443D42"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(Educational competence, forms of learning and assessment, students’ own efforts and other conditions that contribute to learning)</w:t>
            </w:r>
          </w:p>
        </w:tc>
      </w:tr>
      <w:tr w:rsidR="001401A3" w14:paraId="13F6588B" w14:textId="77777777" w:rsidTr="005646D4">
        <w:tc>
          <w:tcPr>
            <w:tcW w:w="9016" w:type="dxa"/>
          </w:tcPr>
          <w:p w14:paraId="29C0BD8E" w14:textId="104C8441" w:rsidR="00443D42" w:rsidRDefault="00443D42" w:rsidP="00571A14">
            <w:pPr>
              <w:autoSpaceDE w:val="0"/>
              <w:autoSpaceDN w:val="0"/>
              <w:adjustRightInd w:val="0"/>
              <w:rPr>
                <w:rFonts w:ascii="Times New Roman" w:hAnsi="Times New Roman" w:cs="Times New Roman"/>
                <w:sz w:val="24"/>
                <w:szCs w:val="24"/>
              </w:rPr>
            </w:pPr>
          </w:p>
          <w:p w14:paraId="75D4E96E" w14:textId="77777777" w:rsidR="007100F8" w:rsidRDefault="007100F8" w:rsidP="007100F8">
            <w:pPr>
              <w:rPr>
                <w:rFonts w:ascii="Arial" w:hAnsi="Arial" w:cs="Arial"/>
                <w:bCs/>
              </w:rPr>
            </w:pPr>
            <w:r>
              <w:rPr>
                <w:rFonts w:ascii="Arial" w:hAnsi="Arial" w:cs="Arial"/>
                <w:bCs/>
              </w:rPr>
              <w:t xml:space="preserve">In recent academic years, before the covid pandemic struck bringing constraints on campus-based instruction, the School encouraged faculty members to require more hands-on learning activities. In the economics courses, this meant more written assignments and oral presentations through individual effort or by working in groups. Other course activities include problem sets, assignments, cases, reports and semester papers or projects. These activities require advice and feedback from instructors and might also require students commenting or critiquing the work of their colleagues. In some courses the activities count toward the final grade in the course, while in others it is a means of ensuring that the students are prepared to write the final exam which counts for 100% of the final grade.  </w:t>
            </w:r>
          </w:p>
          <w:p w14:paraId="040C1507" w14:textId="77777777" w:rsidR="007100F8" w:rsidRDefault="007100F8" w:rsidP="007100F8">
            <w:pPr>
              <w:rPr>
                <w:rFonts w:ascii="Arial" w:hAnsi="Arial" w:cs="Arial"/>
                <w:bCs/>
              </w:rPr>
            </w:pPr>
          </w:p>
          <w:p w14:paraId="5E8F6EF4" w14:textId="77777777" w:rsidR="007100F8" w:rsidRDefault="007100F8" w:rsidP="007100F8">
            <w:pPr>
              <w:rPr>
                <w:rFonts w:ascii="Arial" w:hAnsi="Arial" w:cs="Arial"/>
                <w:bCs/>
              </w:rPr>
            </w:pPr>
            <w:r>
              <w:rPr>
                <w:rFonts w:ascii="Arial" w:hAnsi="Arial" w:cs="Arial"/>
                <w:bCs/>
              </w:rPr>
              <w:t xml:space="preserve">In Table 4 the scores from the national survey on student satisfaction on teaching, feedback and advising, and the use of digital tools are reported. These scores are measures of satisfaction at the program level. The scores from 2021 are a return to those </w:t>
            </w:r>
            <w:r>
              <w:rPr>
                <w:rFonts w:ascii="Arial" w:hAnsi="Arial" w:cs="Arial"/>
                <w:bCs/>
              </w:rPr>
              <w:lastRenderedPageBreak/>
              <w:t xml:space="preserve">obtained in 2019. The dip in the scores in 2020 seem to reflect the adverse effect that covid-19 restrictions placed upon physical, campus-based instruction. It would also suggest that most instructors were not comfortable with adjusting their courses, lectures and assignments to the digital format or hybrid methods. </w:t>
            </w:r>
          </w:p>
          <w:p w14:paraId="3FA0766F" w14:textId="77777777" w:rsidR="007100F8" w:rsidRDefault="007100F8" w:rsidP="007100F8">
            <w:pPr>
              <w:rPr>
                <w:rFonts w:ascii="Arial" w:hAnsi="Arial" w:cs="Arial"/>
                <w:bCs/>
              </w:rPr>
            </w:pPr>
          </w:p>
          <w:p w14:paraId="09EC5A77" w14:textId="77777777" w:rsidR="007100F8" w:rsidRDefault="007100F8" w:rsidP="007100F8">
            <w:pPr>
              <w:rPr>
                <w:rFonts w:ascii="Arial" w:hAnsi="Arial" w:cs="Arial"/>
                <w:bCs/>
              </w:rPr>
            </w:pPr>
          </w:p>
          <w:p w14:paraId="4B574E69" w14:textId="77777777" w:rsidR="007100F8" w:rsidRDefault="007100F8" w:rsidP="007100F8">
            <w:pPr>
              <w:rPr>
                <w:rFonts w:ascii="Arial" w:hAnsi="Arial" w:cs="Arial"/>
                <w:bCs/>
              </w:rPr>
            </w:pPr>
            <w:r>
              <w:rPr>
                <w:rFonts w:ascii="Arial" w:hAnsi="Arial" w:cs="Arial"/>
                <w:bCs/>
              </w:rPr>
              <w:t>Table 4. Student satisfaction with teaching, feedback and advising, and use of digital tools</w:t>
            </w:r>
          </w:p>
          <w:tbl>
            <w:tblPr>
              <w:tblStyle w:val="TableGrid"/>
              <w:tblW w:w="0" w:type="auto"/>
              <w:tblLook w:val="04A0" w:firstRow="1" w:lastRow="0" w:firstColumn="1" w:lastColumn="0" w:noHBand="0" w:noVBand="1"/>
            </w:tblPr>
            <w:tblGrid>
              <w:gridCol w:w="1299"/>
              <w:gridCol w:w="1701"/>
              <w:gridCol w:w="1843"/>
              <w:gridCol w:w="1842"/>
            </w:tblGrid>
            <w:tr w:rsidR="007100F8" w:rsidRPr="00B3531A" w14:paraId="694EF6F6" w14:textId="77777777" w:rsidTr="00161F5D">
              <w:tc>
                <w:tcPr>
                  <w:tcW w:w="1299" w:type="dxa"/>
                  <w:vAlign w:val="center"/>
                </w:tcPr>
                <w:p w14:paraId="6F680169" w14:textId="77777777" w:rsidR="007100F8" w:rsidRDefault="007100F8" w:rsidP="007100F8">
                  <w:pPr>
                    <w:jc w:val="center"/>
                    <w:rPr>
                      <w:rFonts w:ascii="Arial" w:hAnsi="Arial" w:cs="Arial"/>
                      <w:bCs/>
                    </w:rPr>
                  </w:pPr>
                </w:p>
              </w:tc>
              <w:tc>
                <w:tcPr>
                  <w:tcW w:w="1701" w:type="dxa"/>
                  <w:vAlign w:val="center"/>
                </w:tcPr>
                <w:p w14:paraId="040B0F3C" w14:textId="77777777" w:rsidR="007100F8" w:rsidRDefault="007100F8" w:rsidP="007100F8">
                  <w:pPr>
                    <w:jc w:val="center"/>
                    <w:rPr>
                      <w:rFonts w:ascii="Arial" w:hAnsi="Arial" w:cs="Arial"/>
                      <w:bCs/>
                    </w:rPr>
                  </w:pPr>
                  <w:r>
                    <w:rPr>
                      <w:rFonts w:ascii="Arial" w:hAnsi="Arial" w:cs="Arial"/>
                      <w:bCs/>
                    </w:rPr>
                    <w:t>Teaching</w:t>
                  </w:r>
                </w:p>
              </w:tc>
              <w:tc>
                <w:tcPr>
                  <w:tcW w:w="1843" w:type="dxa"/>
                  <w:vAlign w:val="center"/>
                </w:tcPr>
                <w:p w14:paraId="37542E77" w14:textId="77777777" w:rsidR="007100F8" w:rsidRDefault="007100F8" w:rsidP="007100F8">
                  <w:pPr>
                    <w:jc w:val="center"/>
                    <w:rPr>
                      <w:rFonts w:ascii="Arial" w:hAnsi="Arial" w:cs="Arial"/>
                      <w:bCs/>
                    </w:rPr>
                  </w:pPr>
                  <w:r>
                    <w:rPr>
                      <w:rFonts w:ascii="Arial" w:hAnsi="Arial" w:cs="Arial"/>
                      <w:bCs/>
                    </w:rPr>
                    <w:t>Feedback and advising</w:t>
                  </w:r>
                </w:p>
              </w:tc>
              <w:tc>
                <w:tcPr>
                  <w:tcW w:w="1842" w:type="dxa"/>
                  <w:vAlign w:val="center"/>
                </w:tcPr>
                <w:p w14:paraId="33875184" w14:textId="77777777" w:rsidR="007100F8" w:rsidRDefault="007100F8" w:rsidP="007100F8">
                  <w:pPr>
                    <w:jc w:val="center"/>
                    <w:rPr>
                      <w:rFonts w:ascii="Arial" w:hAnsi="Arial" w:cs="Arial"/>
                      <w:bCs/>
                    </w:rPr>
                  </w:pPr>
                  <w:r>
                    <w:rPr>
                      <w:rFonts w:ascii="Arial" w:hAnsi="Arial" w:cs="Arial"/>
                      <w:bCs/>
                    </w:rPr>
                    <w:t>Use of digital tools</w:t>
                  </w:r>
                </w:p>
              </w:tc>
            </w:tr>
            <w:tr w:rsidR="007100F8" w:rsidRPr="00B3531A" w14:paraId="145C9EB1" w14:textId="77777777" w:rsidTr="00161F5D">
              <w:tc>
                <w:tcPr>
                  <w:tcW w:w="1299" w:type="dxa"/>
                </w:tcPr>
                <w:p w14:paraId="15653C8C" w14:textId="77777777" w:rsidR="007100F8" w:rsidRDefault="007100F8" w:rsidP="007100F8">
                  <w:pPr>
                    <w:jc w:val="center"/>
                    <w:rPr>
                      <w:rFonts w:ascii="Arial" w:hAnsi="Arial" w:cs="Arial"/>
                      <w:bCs/>
                    </w:rPr>
                  </w:pPr>
                  <w:r>
                    <w:rPr>
                      <w:rFonts w:ascii="Arial" w:hAnsi="Arial" w:cs="Arial"/>
                      <w:bCs/>
                    </w:rPr>
                    <w:t>2021</w:t>
                  </w:r>
                </w:p>
              </w:tc>
              <w:tc>
                <w:tcPr>
                  <w:tcW w:w="1701" w:type="dxa"/>
                </w:tcPr>
                <w:p w14:paraId="67D08007" w14:textId="77777777" w:rsidR="007100F8" w:rsidRDefault="007100F8" w:rsidP="007100F8">
                  <w:pPr>
                    <w:jc w:val="center"/>
                    <w:rPr>
                      <w:rFonts w:ascii="Arial" w:hAnsi="Arial" w:cs="Arial"/>
                      <w:bCs/>
                    </w:rPr>
                  </w:pPr>
                  <w:r>
                    <w:rPr>
                      <w:rFonts w:ascii="Arial" w:hAnsi="Arial" w:cs="Arial"/>
                      <w:bCs/>
                    </w:rPr>
                    <w:t>4,0</w:t>
                  </w:r>
                </w:p>
              </w:tc>
              <w:tc>
                <w:tcPr>
                  <w:tcW w:w="1843" w:type="dxa"/>
                </w:tcPr>
                <w:p w14:paraId="44CC7D16" w14:textId="77777777" w:rsidR="007100F8" w:rsidRDefault="007100F8" w:rsidP="007100F8">
                  <w:pPr>
                    <w:jc w:val="center"/>
                    <w:rPr>
                      <w:rFonts w:ascii="Arial" w:hAnsi="Arial" w:cs="Arial"/>
                      <w:bCs/>
                    </w:rPr>
                  </w:pPr>
                  <w:r>
                    <w:rPr>
                      <w:rFonts w:ascii="Arial" w:hAnsi="Arial" w:cs="Arial"/>
                      <w:bCs/>
                    </w:rPr>
                    <w:t>3,8</w:t>
                  </w:r>
                </w:p>
              </w:tc>
              <w:tc>
                <w:tcPr>
                  <w:tcW w:w="1842" w:type="dxa"/>
                </w:tcPr>
                <w:p w14:paraId="73E78816" w14:textId="77777777" w:rsidR="007100F8" w:rsidRDefault="007100F8" w:rsidP="007100F8">
                  <w:pPr>
                    <w:jc w:val="center"/>
                    <w:rPr>
                      <w:rFonts w:ascii="Arial" w:hAnsi="Arial" w:cs="Arial"/>
                      <w:bCs/>
                    </w:rPr>
                  </w:pPr>
                  <w:r>
                    <w:rPr>
                      <w:rFonts w:ascii="Arial" w:hAnsi="Arial" w:cs="Arial"/>
                      <w:bCs/>
                    </w:rPr>
                    <w:t>4,0</w:t>
                  </w:r>
                </w:p>
              </w:tc>
            </w:tr>
            <w:tr w:rsidR="007100F8" w:rsidRPr="00B3531A" w14:paraId="4CDA7D25" w14:textId="77777777" w:rsidTr="00161F5D">
              <w:tc>
                <w:tcPr>
                  <w:tcW w:w="1299" w:type="dxa"/>
                </w:tcPr>
                <w:p w14:paraId="4040B8F4" w14:textId="77777777" w:rsidR="007100F8" w:rsidRDefault="007100F8" w:rsidP="007100F8">
                  <w:pPr>
                    <w:jc w:val="center"/>
                    <w:rPr>
                      <w:rFonts w:ascii="Arial" w:hAnsi="Arial" w:cs="Arial"/>
                      <w:bCs/>
                    </w:rPr>
                  </w:pPr>
                  <w:r>
                    <w:rPr>
                      <w:rFonts w:ascii="Arial" w:hAnsi="Arial" w:cs="Arial"/>
                      <w:bCs/>
                    </w:rPr>
                    <w:t>2020</w:t>
                  </w:r>
                </w:p>
              </w:tc>
              <w:tc>
                <w:tcPr>
                  <w:tcW w:w="1701" w:type="dxa"/>
                </w:tcPr>
                <w:p w14:paraId="0E043B84" w14:textId="77777777" w:rsidR="007100F8" w:rsidRDefault="007100F8" w:rsidP="007100F8">
                  <w:pPr>
                    <w:jc w:val="center"/>
                    <w:rPr>
                      <w:rFonts w:ascii="Arial" w:hAnsi="Arial" w:cs="Arial"/>
                      <w:bCs/>
                    </w:rPr>
                  </w:pPr>
                  <w:r>
                    <w:rPr>
                      <w:rFonts w:ascii="Arial" w:hAnsi="Arial" w:cs="Arial"/>
                      <w:bCs/>
                    </w:rPr>
                    <w:t>3,4</w:t>
                  </w:r>
                </w:p>
              </w:tc>
              <w:tc>
                <w:tcPr>
                  <w:tcW w:w="1843" w:type="dxa"/>
                </w:tcPr>
                <w:p w14:paraId="536BE662" w14:textId="77777777" w:rsidR="007100F8" w:rsidRDefault="007100F8" w:rsidP="007100F8">
                  <w:pPr>
                    <w:jc w:val="center"/>
                    <w:rPr>
                      <w:rFonts w:ascii="Arial" w:hAnsi="Arial" w:cs="Arial"/>
                      <w:bCs/>
                    </w:rPr>
                  </w:pPr>
                  <w:r>
                    <w:rPr>
                      <w:rFonts w:ascii="Arial" w:hAnsi="Arial" w:cs="Arial"/>
                      <w:bCs/>
                    </w:rPr>
                    <w:t>3,0</w:t>
                  </w:r>
                </w:p>
              </w:tc>
              <w:tc>
                <w:tcPr>
                  <w:tcW w:w="1842" w:type="dxa"/>
                </w:tcPr>
                <w:p w14:paraId="6D72169D" w14:textId="77777777" w:rsidR="007100F8" w:rsidRDefault="007100F8" w:rsidP="007100F8">
                  <w:pPr>
                    <w:jc w:val="center"/>
                    <w:rPr>
                      <w:rFonts w:ascii="Arial" w:hAnsi="Arial" w:cs="Arial"/>
                      <w:bCs/>
                    </w:rPr>
                  </w:pPr>
                  <w:r>
                    <w:rPr>
                      <w:rFonts w:ascii="Arial" w:hAnsi="Arial" w:cs="Arial"/>
                      <w:bCs/>
                    </w:rPr>
                    <w:t>3,0</w:t>
                  </w:r>
                </w:p>
              </w:tc>
            </w:tr>
            <w:tr w:rsidR="007100F8" w:rsidRPr="00B3531A" w14:paraId="62018BBB" w14:textId="77777777" w:rsidTr="00161F5D">
              <w:tc>
                <w:tcPr>
                  <w:tcW w:w="1299" w:type="dxa"/>
                </w:tcPr>
                <w:p w14:paraId="74FFD4DF" w14:textId="77777777" w:rsidR="007100F8" w:rsidRDefault="007100F8" w:rsidP="007100F8">
                  <w:pPr>
                    <w:jc w:val="center"/>
                    <w:rPr>
                      <w:rFonts w:ascii="Arial" w:hAnsi="Arial" w:cs="Arial"/>
                      <w:bCs/>
                    </w:rPr>
                  </w:pPr>
                  <w:r>
                    <w:rPr>
                      <w:rFonts w:ascii="Arial" w:hAnsi="Arial" w:cs="Arial"/>
                      <w:bCs/>
                    </w:rPr>
                    <w:t>2019</w:t>
                  </w:r>
                </w:p>
              </w:tc>
              <w:tc>
                <w:tcPr>
                  <w:tcW w:w="1701" w:type="dxa"/>
                </w:tcPr>
                <w:p w14:paraId="15966673" w14:textId="77777777" w:rsidR="007100F8" w:rsidRDefault="007100F8" w:rsidP="007100F8">
                  <w:pPr>
                    <w:jc w:val="center"/>
                    <w:rPr>
                      <w:rFonts w:ascii="Arial" w:hAnsi="Arial" w:cs="Arial"/>
                      <w:bCs/>
                    </w:rPr>
                  </w:pPr>
                  <w:r>
                    <w:rPr>
                      <w:rFonts w:ascii="Arial" w:hAnsi="Arial" w:cs="Arial"/>
                      <w:bCs/>
                    </w:rPr>
                    <w:t>4,1</w:t>
                  </w:r>
                </w:p>
              </w:tc>
              <w:tc>
                <w:tcPr>
                  <w:tcW w:w="1843" w:type="dxa"/>
                </w:tcPr>
                <w:p w14:paraId="45E511EF" w14:textId="77777777" w:rsidR="007100F8" w:rsidRDefault="007100F8" w:rsidP="007100F8">
                  <w:pPr>
                    <w:jc w:val="center"/>
                    <w:rPr>
                      <w:rFonts w:ascii="Arial" w:hAnsi="Arial" w:cs="Arial"/>
                      <w:bCs/>
                    </w:rPr>
                  </w:pPr>
                  <w:r>
                    <w:rPr>
                      <w:rFonts w:ascii="Arial" w:hAnsi="Arial" w:cs="Arial"/>
                      <w:bCs/>
                    </w:rPr>
                    <w:t>3,8</w:t>
                  </w:r>
                </w:p>
              </w:tc>
              <w:tc>
                <w:tcPr>
                  <w:tcW w:w="1842" w:type="dxa"/>
                </w:tcPr>
                <w:p w14:paraId="7FEDD496" w14:textId="77777777" w:rsidR="007100F8" w:rsidRDefault="007100F8" w:rsidP="007100F8">
                  <w:pPr>
                    <w:jc w:val="center"/>
                    <w:rPr>
                      <w:rFonts w:ascii="Arial" w:hAnsi="Arial" w:cs="Arial"/>
                      <w:bCs/>
                    </w:rPr>
                  </w:pPr>
                  <w:r>
                    <w:rPr>
                      <w:rFonts w:ascii="Arial" w:hAnsi="Arial" w:cs="Arial"/>
                      <w:bCs/>
                    </w:rPr>
                    <w:t>4,1</w:t>
                  </w:r>
                </w:p>
              </w:tc>
            </w:tr>
            <w:tr w:rsidR="007100F8" w:rsidRPr="00B3531A" w14:paraId="3CE748E2" w14:textId="77777777" w:rsidTr="00161F5D">
              <w:tc>
                <w:tcPr>
                  <w:tcW w:w="1299" w:type="dxa"/>
                </w:tcPr>
                <w:p w14:paraId="705A6DE8" w14:textId="77777777" w:rsidR="007100F8" w:rsidRDefault="007100F8" w:rsidP="007100F8">
                  <w:pPr>
                    <w:jc w:val="center"/>
                    <w:rPr>
                      <w:rFonts w:ascii="Arial" w:hAnsi="Arial" w:cs="Arial"/>
                      <w:bCs/>
                    </w:rPr>
                  </w:pPr>
                  <w:r>
                    <w:rPr>
                      <w:rFonts w:ascii="Arial" w:hAnsi="Arial" w:cs="Arial"/>
                      <w:bCs/>
                    </w:rPr>
                    <w:t>2018</w:t>
                  </w:r>
                </w:p>
              </w:tc>
              <w:tc>
                <w:tcPr>
                  <w:tcW w:w="1701" w:type="dxa"/>
                </w:tcPr>
                <w:p w14:paraId="5837497A" w14:textId="77777777" w:rsidR="007100F8" w:rsidRDefault="007100F8" w:rsidP="007100F8">
                  <w:pPr>
                    <w:jc w:val="center"/>
                    <w:rPr>
                      <w:rFonts w:ascii="Arial" w:hAnsi="Arial" w:cs="Arial"/>
                      <w:bCs/>
                    </w:rPr>
                  </w:pPr>
                  <w:r>
                    <w:rPr>
                      <w:rFonts w:ascii="Arial" w:hAnsi="Arial" w:cs="Arial"/>
                      <w:bCs/>
                    </w:rPr>
                    <w:t>3,6</w:t>
                  </w:r>
                </w:p>
              </w:tc>
              <w:tc>
                <w:tcPr>
                  <w:tcW w:w="1843" w:type="dxa"/>
                </w:tcPr>
                <w:p w14:paraId="5C0AB23F" w14:textId="77777777" w:rsidR="007100F8" w:rsidRDefault="007100F8" w:rsidP="007100F8">
                  <w:pPr>
                    <w:jc w:val="center"/>
                    <w:rPr>
                      <w:rFonts w:ascii="Arial" w:hAnsi="Arial" w:cs="Arial"/>
                      <w:bCs/>
                    </w:rPr>
                  </w:pPr>
                  <w:r>
                    <w:rPr>
                      <w:rFonts w:ascii="Arial" w:hAnsi="Arial" w:cs="Arial"/>
                      <w:bCs/>
                    </w:rPr>
                    <w:t>3,7</w:t>
                  </w:r>
                </w:p>
              </w:tc>
              <w:tc>
                <w:tcPr>
                  <w:tcW w:w="1842" w:type="dxa"/>
                </w:tcPr>
                <w:p w14:paraId="21650E6E" w14:textId="77777777" w:rsidR="007100F8" w:rsidRDefault="007100F8" w:rsidP="007100F8">
                  <w:pPr>
                    <w:jc w:val="center"/>
                    <w:rPr>
                      <w:rFonts w:ascii="Arial" w:hAnsi="Arial" w:cs="Arial"/>
                      <w:bCs/>
                    </w:rPr>
                  </w:pPr>
                  <w:r>
                    <w:rPr>
                      <w:rFonts w:ascii="Arial" w:hAnsi="Arial" w:cs="Arial"/>
                      <w:bCs/>
                    </w:rPr>
                    <w:t>N/A</w:t>
                  </w:r>
                </w:p>
              </w:tc>
            </w:tr>
          </w:tbl>
          <w:p w14:paraId="0FE3E56A" w14:textId="77777777" w:rsidR="007100F8" w:rsidRDefault="007100F8" w:rsidP="007100F8">
            <w:pPr>
              <w:pStyle w:val="TableParagraph"/>
              <w:spacing w:line="276" w:lineRule="auto"/>
              <w:ind w:right="262"/>
              <w:rPr>
                <w:rFonts w:ascii="Arial" w:hAnsi="Arial" w:cs="Arial"/>
                <w:b/>
                <w:sz w:val="18"/>
                <w:szCs w:val="18"/>
              </w:rPr>
            </w:pPr>
            <w:r>
              <w:rPr>
                <w:rFonts w:ascii="Arial" w:hAnsi="Arial" w:cs="Arial"/>
                <w:b/>
                <w:sz w:val="18"/>
                <w:szCs w:val="18"/>
              </w:rPr>
              <w:t>Source</w:t>
            </w:r>
            <w:r w:rsidRPr="00E61DE8">
              <w:rPr>
                <w:rFonts w:ascii="Arial" w:hAnsi="Arial" w:cs="Arial"/>
                <w:b/>
                <w:sz w:val="18"/>
                <w:szCs w:val="18"/>
              </w:rPr>
              <w:t xml:space="preserve">: </w:t>
            </w:r>
            <w:r>
              <w:rPr>
                <w:rFonts w:ascii="Arial" w:hAnsi="Arial" w:cs="Arial"/>
                <w:b/>
                <w:sz w:val="18"/>
                <w:szCs w:val="18"/>
              </w:rPr>
              <w:t>Studiebarometeret</w:t>
            </w:r>
          </w:p>
          <w:p w14:paraId="34E4C8C8" w14:textId="77777777" w:rsidR="007100F8" w:rsidRDefault="007100F8" w:rsidP="007100F8">
            <w:pPr>
              <w:rPr>
                <w:rFonts w:ascii="Arial" w:hAnsi="Arial" w:cs="Arial"/>
                <w:bCs/>
              </w:rPr>
            </w:pPr>
          </w:p>
          <w:p w14:paraId="47F7801D" w14:textId="77777777" w:rsidR="007100F8" w:rsidRDefault="007100F8" w:rsidP="007100F8">
            <w:pPr>
              <w:rPr>
                <w:rFonts w:ascii="Arial" w:hAnsi="Arial" w:cs="Arial"/>
                <w:bCs/>
              </w:rPr>
            </w:pPr>
            <w:r>
              <w:rPr>
                <w:rFonts w:ascii="Arial" w:hAnsi="Arial" w:cs="Arial"/>
                <w:bCs/>
              </w:rPr>
              <w:t xml:space="preserve">By way of comparison, the scores obtained from student course/instructor evaluations administered by NMBU suggest that student satisfaction with teaching, feedback and advising at the course/instructor level is even higher than at the program level. During 2021-22, there were 19 course offerings under M-ECON (including required courses, core courses under specializations, and recommended electives). The scores showed an improvement over 2020-21. </w:t>
            </w:r>
          </w:p>
          <w:p w14:paraId="7CFAC21B" w14:textId="77777777" w:rsidR="007100F8" w:rsidRDefault="007100F8" w:rsidP="007100F8">
            <w:pPr>
              <w:rPr>
                <w:rFonts w:ascii="Arial" w:hAnsi="Arial" w:cs="Arial"/>
                <w:bCs/>
              </w:rPr>
            </w:pPr>
          </w:p>
          <w:p w14:paraId="3AF58364" w14:textId="77777777" w:rsidR="007100F8" w:rsidRDefault="007100F8" w:rsidP="007100F8">
            <w:pPr>
              <w:rPr>
                <w:rFonts w:ascii="Arial" w:hAnsi="Arial" w:cs="Arial"/>
                <w:bCs/>
              </w:rPr>
            </w:pPr>
            <w:r>
              <w:rPr>
                <w:rFonts w:ascii="Arial" w:hAnsi="Arial" w:cs="Arial"/>
                <w:bCs/>
              </w:rPr>
              <w:t xml:space="preserve">For the eight required courses that apply to all M-ECON students the average scores ranged from between 4,3 to 4,68 across all indicators (expectations, structure and organization, teaching, other learning activity, feedback and advising, learning experience and overall). Teaching and feedback and advising averaged a score of 4,36 and 4,45, respectively. The overall level of satisfaction across all eight courses averaged 4,24 (lower than the individual indicators), but these are scores that reflect a high level of general satisfaction, nevertheless. There is one course that received scores under 3,0 on two indicators and on the overall satisfaction. This is a signal that some attention might be required. In that course, the students signaled that there was a problem in the class and adjustments were made to improve matters mid-way through the semester.   </w:t>
            </w:r>
          </w:p>
          <w:p w14:paraId="77BE5749" w14:textId="77777777" w:rsidR="007100F8" w:rsidRDefault="007100F8" w:rsidP="007100F8">
            <w:pPr>
              <w:rPr>
                <w:rFonts w:ascii="Arial" w:hAnsi="Arial" w:cs="Arial"/>
                <w:bCs/>
              </w:rPr>
            </w:pPr>
          </w:p>
          <w:p w14:paraId="5C27820E" w14:textId="77777777" w:rsidR="007100F8" w:rsidRDefault="007100F8" w:rsidP="007100F8">
            <w:pPr>
              <w:rPr>
                <w:rFonts w:ascii="Arial" w:hAnsi="Arial" w:cs="Arial"/>
                <w:bCs/>
              </w:rPr>
            </w:pPr>
            <w:r>
              <w:rPr>
                <w:rFonts w:ascii="Arial" w:hAnsi="Arial" w:cs="Arial"/>
                <w:bCs/>
              </w:rPr>
              <w:t>For specialty courses and electives within the specializations, the average scores ranged from between 4,51 and 4,85 across all indicators, high levels of satisfaction. The indicators for teaching and feedback and advising both averaged a score of 4,69, much higher than the score from the national survey on the program. The average score across all specialty and elective courses on each indicator ranged between 4,62 and 5,12 with an average score on the overall satisfaction of 4,73. There is only one course with low scores across indicators and an overall score less than 3,0. It must be noted that the number of respondents was low. Nevertheless, the scores are an indication that some measures might need to be taken to improve matters.</w:t>
            </w:r>
          </w:p>
          <w:p w14:paraId="72B53AB6" w14:textId="77777777" w:rsidR="007100F8" w:rsidRDefault="007100F8" w:rsidP="007100F8">
            <w:pPr>
              <w:rPr>
                <w:rFonts w:ascii="Arial" w:hAnsi="Arial" w:cs="Arial"/>
                <w:bCs/>
              </w:rPr>
            </w:pPr>
          </w:p>
          <w:p w14:paraId="2D9A39FA" w14:textId="77777777" w:rsidR="007100F8" w:rsidRDefault="007100F8" w:rsidP="007100F8">
            <w:pPr>
              <w:rPr>
                <w:rFonts w:ascii="Arial" w:hAnsi="Arial" w:cs="Arial"/>
                <w:bCs/>
              </w:rPr>
            </w:pPr>
            <w:r>
              <w:rPr>
                <w:rFonts w:ascii="Arial" w:hAnsi="Arial" w:cs="Arial"/>
                <w:bCs/>
              </w:rPr>
              <w:t>Finally, for all courses taught under the M-ECON program during 2021-22, the average score on the overall level of satisfaction is 4,51. This is an improvement over the satisfaction in the previous academic year (4,3). Six of the 19 courses received a score of the overall level of satisfaction of 5,0 or higher. These are a very positive results.</w:t>
            </w:r>
          </w:p>
          <w:p w14:paraId="10AEE7FE" w14:textId="77777777" w:rsidR="007100F8" w:rsidRDefault="007100F8" w:rsidP="007100F8">
            <w:pPr>
              <w:rPr>
                <w:rFonts w:ascii="Arial" w:hAnsi="Arial" w:cs="Arial"/>
                <w:bCs/>
              </w:rPr>
            </w:pPr>
          </w:p>
          <w:p w14:paraId="2106A948" w14:textId="77777777" w:rsidR="007100F8" w:rsidRDefault="007100F8" w:rsidP="007100F8">
            <w:pPr>
              <w:rPr>
                <w:rFonts w:ascii="Arial" w:hAnsi="Arial" w:cs="Arial"/>
                <w:bCs/>
              </w:rPr>
            </w:pPr>
            <w:r w:rsidRPr="00A153CB">
              <w:rPr>
                <w:rFonts w:ascii="Arial" w:hAnsi="Arial" w:cs="Arial"/>
                <w:bCs/>
                <w:highlight w:val="yellow"/>
              </w:rPr>
              <w:t>[we still need the evaluation results of thesis supervision]!!</w:t>
            </w:r>
          </w:p>
          <w:p w14:paraId="1798F6DE" w14:textId="77777777" w:rsidR="007100F8" w:rsidRDefault="007100F8" w:rsidP="007100F8">
            <w:pPr>
              <w:rPr>
                <w:rFonts w:ascii="Arial" w:hAnsi="Arial" w:cs="Arial"/>
              </w:rPr>
            </w:pPr>
          </w:p>
          <w:p w14:paraId="62434F9B" w14:textId="77777777" w:rsidR="007100F8" w:rsidRPr="009D2DB8" w:rsidRDefault="007100F8" w:rsidP="007100F8">
            <w:pPr>
              <w:rPr>
                <w:rFonts w:ascii="Arial" w:hAnsi="Arial" w:cs="Arial"/>
                <w:u w:val="single"/>
              </w:rPr>
            </w:pPr>
            <w:r w:rsidRPr="009D2DB8">
              <w:rPr>
                <w:rFonts w:ascii="Arial" w:hAnsi="Arial" w:cs="Arial"/>
                <w:u w:val="single"/>
              </w:rPr>
              <w:t>Students’ own efforts and other factors contributing to learning</w:t>
            </w:r>
          </w:p>
          <w:p w14:paraId="4B51C68C" w14:textId="77777777" w:rsidR="007100F8" w:rsidRDefault="007100F8" w:rsidP="007100F8">
            <w:pPr>
              <w:rPr>
                <w:rFonts w:ascii="Arial" w:hAnsi="Arial" w:cs="Arial"/>
              </w:rPr>
            </w:pPr>
          </w:p>
          <w:p w14:paraId="1B3ACF84" w14:textId="77777777" w:rsidR="007100F8" w:rsidRDefault="007100F8" w:rsidP="007100F8">
            <w:pPr>
              <w:rPr>
                <w:rFonts w:ascii="Arial" w:hAnsi="Arial" w:cs="Arial"/>
              </w:rPr>
            </w:pPr>
            <w:r>
              <w:rPr>
                <w:rFonts w:ascii="Arial" w:hAnsi="Arial" w:cs="Arial"/>
              </w:rPr>
              <w:t xml:space="preserve">The student survey questions respondents on their own engagement and their own learning outcomes when it comes to their knowledge of the theory, scientific methods and research, and their experience with research and development work, ability to reflect and think critically, and their written and oral communication skills. In the 2021 survey the average score was 4,1 compared with 3.6 in 2019. The was no score presented or information reported on this indicator in 2021, limiting any insights in how the measures </w:t>
            </w:r>
            <w:r>
              <w:rPr>
                <w:rFonts w:ascii="Arial" w:hAnsi="Arial" w:cs="Arial"/>
              </w:rPr>
              <w:lastRenderedPageBreak/>
              <w:t>taken before covid had any effect. In addition to the challenge that digital courses posed for instructors in terms of the learning of new technology and its effective use for their courses, students also had to make adaptations in how they studied. In previous NOKUT questionnaires, students admitted to not putting in enough effort into their learning, this despite noting that the study program and the educational content was inspiring to them.</w:t>
            </w:r>
          </w:p>
          <w:p w14:paraId="3A37A896" w14:textId="77777777" w:rsidR="007100F8" w:rsidRDefault="007100F8" w:rsidP="007100F8">
            <w:pPr>
              <w:rPr>
                <w:rFonts w:ascii="Arial" w:hAnsi="Arial" w:cs="Arial"/>
              </w:rPr>
            </w:pPr>
          </w:p>
          <w:p w14:paraId="627A5B59" w14:textId="4035F64E" w:rsidR="007100F8" w:rsidRPr="00D61D10" w:rsidRDefault="007100F8" w:rsidP="00D61D10">
            <w:pPr>
              <w:rPr>
                <w:rFonts w:ascii="Arial" w:hAnsi="Arial" w:cs="Arial"/>
              </w:rPr>
            </w:pPr>
            <w:r>
              <w:rPr>
                <w:rFonts w:ascii="Arial" w:hAnsi="Arial" w:cs="Arial"/>
              </w:rPr>
              <w:t xml:space="preserve">The score of 4,1 obtained in 2021 might by a reflection of the increased emphasis on in-class exercises and other hands-on activities that have been incorporated in many of the M-ECON courses. So, in addition to improvement in the satisfaction levels associated with course and instructor-related indicators the shift towards more active learning might be reflected in this score. Moreover, the program’s ability to inspire also received a score of 4,1 supports this observation. </w:t>
            </w:r>
          </w:p>
          <w:p w14:paraId="7B8AB95E" w14:textId="1FE4DB60" w:rsidR="00443D42" w:rsidRDefault="00443D42" w:rsidP="00571A14">
            <w:pPr>
              <w:autoSpaceDE w:val="0"/>
              <w:autoSpaceDN w:val="0"/>
              <w:adjustRightInd w:val="0"/>
              <w:rPr>
                <w:rFonts w:ascii="Times New Roman" w:hAnsi="Times New Roman" w:cs="Times New Roman"/>
                <w:sz w:val="24"/>
                <w:szCs w:val="24"/>
              </w:rPr>
            </w:pPr>
          </w:p>
        </w:tc>
      </w:tr>
      <w:tr w:rsidR="001401A3" w14:paraId="2AC69216" w14:textId="77777777" w:rsidTr="00443D42">
        <w:tc>
          <w:tcPr>
            <w:tcW w:w="9016" w:type="dxa"/>
            <w:shd w:val="clear" w:color="auto" w:fill="E2EFD9" w:themeFill="accent6" w:themeFillTint="33"/>
          </w:tcPr>
          <w:p w14:paraId="17B5C0CB" w14:textId="77777777" w:rsidR="001401A3" w:rsidRDefault="00443D42"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Relevance</w:t>
            </w:r>
          </w:p>
          <w:p w14:paraId="2268D52B" w14:textId="20E8E986" w:rsidR="00443D42" w:rsidRDefault="00443D42"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relevance of education for society, working life and long-term value creation.  Including also the work with internships, for example)</w:t>
            </w:r>
          </w:p>
        </w:tc>
      </w:tr>
      <w:tr w:rsidR="00443D42" w14:paraId="6F8BF5C8" w14:textId="77777777" w:rsidTr="005646D4">
        <w:tc>
          <w:tcPr>
            <w:tcW w:w="9016" w:type="dxa"/>
          </w:tcPr>
          <w:p w14:paraId="3A23E442" w14:textId="14409C8E" w:rsidR="00CE5EB6" w:rsidRDefault="00CE5EB6" w:rsidP="00571A14">
            <w:pPr>
              <w:autoSpaceDE w:val="0"/>
              <w:autoSpaceDN w:val="0"/>
              <w:adjustRightInd w:val="0"/>
              <w:rPr>
                <w:rFonts w:ascii="Times New Roman" w:hAnsi="Times New Roman" w:cs="Times New Roman"/>
                <w:sz w:val="24"/>
                <w:szCs w:val="24"/>
              </w:rPr>
            </w:pPr>
          </w:p>
          <w:p w14:paraId="620ED71D" w14:textId="77777777" w:rsidR="00441756" w:rsidRDefault="00441756" w:rsidP="00441756">
            <w:pPr>
              <w:rPr>
                <w:rFonts w:ascii="Arial" w:hAnsi="Arial" w:cs="Arial"/>
              </w:rPr>
            </w:pPr>
            <w:r>
              <w:rPr>
                <w:rFonts w:ascii="Arial" w:hAnsi="Arial" w:cs="Arial"/>
              </w:rPr>
              <w:t>It was noted in previous student evaluations of the program that there remains a disconnect between the knowledge and skills that the program imparts and its relevance to society. In the 2019 national survey, M-ECON students who responded on a question related to the connection to work life provided an average score of 3,3. It seems as if students are not entirely clear how the information and knowledge they obtain in their courses or study program relates to the job they will be engaged in after graduation.</w:t>
            </w:r>
          </w:p>
          <w:p w14:paraId="6E5F4F2C" w14:textId="77777777" w:rsidR="00441756" w:rsidRDefault="00441756" w:rsidP="00441756">
            <w:pPr>
              <w:rPr>
                <w:rFonts w:ascii="Arial" w:hAnsi="Arial" w:cs="Arial"/>
              </w:rPr>
            </w:pPr>
          </w:p>
          <w:p w14:paraId="596D2A71" w14:textId="77777777" w:rsidR="00441756" w:rsidRDefault="00441756" w:rsidP="00441756">
            <w:pPr>
              <w:rPr>
                <w:rFonts w:ascii="Arial" w:hAnsi="Arial" w:cs="Arial"/>
              </w:rPr>
            </w:pPr>
            <w:r>
              <w:rPr>
                <w:rFonts w:ascii="Arial" w:hAnsi="Arial" w:cs="Arial"/>
              </w:rPr>
              <w:t xml:space="preserve">Students are receptive to the clause in the School’s mission statement “to address complex real-world problems with sustainability as a guiding principle”. The measures taken in some of the core courses of the specializations (such as to involve prominent guest lectures) have been well-received. However, in the 2021 national survey the only low score received was in relation to the connection to work life, scoring 3,5. While this represents an improvement over 2019, there remains an effort to strengthen the link of the program to work life and to translate how their knowledge and skill set translates into desired qualities for employers. Having students work on projects that are of interest to stakeholders outside academia is one way for the students to make that association. Students continue to express an interest in internships or possibilities to have more direct contact with government agencies, non-government organizations or firms, either in the form of course-related activities or a project that can be related to their thesis. </w:t>
            </w:r>
          </w:p>
          <w:p w14:paraId="4C021AC6" w14:textId="77777777" w:rsidR="00441756" w:rsidRDefault="00441756" w:rsidP="00441756">
            <w:pPr>
              <w:rPr>
                <w:rFonts w:ascii="Arial" w:hAnsi="Arial" w:cs="Arial"/>
              </w:rPr>
            </w:pPr>
            <w:r>
              <w:rPr>
                <w:rFonts w:ascii="Arial" w:hAnsi="Arial" w:cs="Arial"/>
              </w:rPr>
              <w:t xml:space="preserve">  </w:t>
            </w:r>
          </w:p>
          <w:p w14:paraId="07CA0316" w14:textId="77777777" w:rsidR="00441756" w:rsidRDefault="00441756" w:rsidP="00441756">
            <w:pPr>
              <w:rPr>
                <w:rFonts w:ascii="Arial" w:hAnsi="Arial" w:cs="Arial"/>
              </w:rPr>
            </w:pPr>
            <w:r>
              <w:rPr>
                <w:rFonts w:ascii="Arial" w:hAnsi="Arial" w:cs="Arial"/>
              </w:rPr>
              <w:t xml:space="preserve">Institutional mechanisms are aiming at supporting this. A career day has been arranged in which graduates return to campus to explain how the knowledge received at NMBU has helped them in their work and to share their experiences in interviewing for jobs and the job search. An external advisory board is another means by which representatives from work life and alumni can provide insight into what skills and knowledge is demanded by the job market and give input and feedback into the relevance of the content of our courses and the learning activities within. Through these institutional mechanisms an effort will be made to strengthen the marketability of our sustainability brand by seeking alumni and representatives of work life who are actively engaged in issues related to the concept. </w:t>
            </w:r>
          </w:p>
          <w:p w14:paraId="6BE51EB5" w14:textId="77777777" w:rsidR="00441756" w:rsidRDefault="00441756" w:rsidP="00441756">
            <w:pPr>
              <w:rPr>
                <w:rFonts w:ascii="Arial" w:hAnsi="Arial" w:cs="Arial"/>
              </w:rPr>
            </w:pPr>
          </w:p>
          <w:p w14:paraId="00719822" w14:textId="29434B66" w:rsidR="00D9661A" w:rsidRDefault="00836844" w:rsidP="00D9661A">
            <w:pPr>
              <w:rPr>
                <w:rFonts w:ascii="Arial" w:hAnsi="Arial" w:cs="Arial"/>
                <w:bCs/>
              </w:rPr>
            </w:pPr>
            <w:r>
              <w:rPr>
                <w:rFonts w:ascii="Arial" w:hAnsi="Arial" w:cs="Arial"/>
              </w:rPr>
              <w:t>The program leaders of M-ECON and M-ØA initiated a pilot internship program for students</w:t>
            </w:r>
            <w:r w:rsidR="00DA1BF3">
              <w:rPr>
                <w:rFonts w:ascii="Arial" w:hAnsi="Arial" w:cs="Arial"/>
              </w:rPr>
              <w:t xml:space="preserve"> beginning in 2022-23</w:t>
            </w:r>
            <w:r>
              <w:rPr>
                <w:rFonts w:ascii="Arial" w:hAnsi="Arial" w:cs="Arial"/>
              </w:rPr>
              <w:t>. For M-ECON students, the</w:t>
            </w:r>
            <w:r w:rsidR="00FC2787">
              <w:rPr>
                <w:rFonts w:ascii="Arial" w:hAnsi="Arial" w:cs="Arial"/>
              </w:rPr>
              <w:t>r</w:t>
            </w:r>
            <w:r>
              <w:rPr>
                <w:rFonts w:ascii="Arial" w:hAnsi="Arial" w:cs="Arial"/>
              </w:rPr>
              <w:t xml:space="preserve">e are two possibilities: a summer internship for 5 ECTS at the end of year 1, or a 10-ECTS internship during the autumn semester of year 2. There are two paths envisaged for internships for credit. First, candidates, through their own initiative, can seek a partner firm or institution </w:t>
            </w:r>
            <w:r w:rsidR="00FC2787">
              <w:rPr>
                <w:rFonts w:ascii="Arial" w:hAnsi="Arial" w:cs="Arial"/>
              </w:rPr>
              <w:t xml:space="preserve">(external partner) </w:t>
            </w:r>
            <w:r w:rsidR="00AF5A6A">
              <w:rPr>
                <w:rFonts w:ascii="Arial" w:hAnsi="Arial" w:cs="Arial"/>
              </w:rPr>
              <w:t xml:space="preserve">that </w:t>
            </w:r>
            <w:r>
              <w:rPr>
                <w:rFonts w:ascii="Arial" w:hAnsi="Arial" w:cs="Arial"/>
              </w:rPr>
              <w:t xml:space="preserve">they identify with </w:t>
            </w:r>
            <w:r w:rsidR="00AF5A6A">
              <w:rPr>
                <w:rFonts w:ascii="Arial" w:hAnsi="Arial" w:cs="Arial"/>
              </w:rPr>
              <w:t xml:space="preserve">which </w:t>
            </w:r>
            <w:r>
              <w:rPr>
                <w:rFonts w:ascii="Arial" w:hAnsi="Arial" w:cs="Arial"/>
              </w:rPr>
              <w:t xml:space="preserve">to work on a problem of </w:t>
            </w:r>
            <w:r w:rsidR="002D65AE">
              <w:rPr>
                <w:rFonts w:ascii="Arial" w:hAnsi="Arial" w:cs="Arial"/>
              </w:rPr>
              <w:t xml:space="preserve">mutual </w:t>
            </w:r>
            <w:r>
              <w:rPr>
                <w:rFonts w:ascii="Arial" w:hAnsi="Arial" w:cs="Arial"/>
              </w:rPr>
              <w:t xml:space="preserve">interest. The student or pair of students, together with the School would sign a contract with the external partner. An external advisor and a faculty supervisor would be assigned and there would be agreement on the requirements (i.e., a written report or project and an oral defense of the work) for the completion of the task and the credits to be earned (5-10 ECTS). The </w:t>
            </w:r>
            <w:r>
              <w:rPr>
                <w:rFonts w:ascii="Arial" w:hAnsi="Arial" w:cs="Arial"/>
              </w:rPr>
              <w:lastRenderedPageBreak/>
              <w:t xml:space="preserve">second path, is through a competitive internship for M-ECON and M-ØA students, working individually or in pairs, with </w:t>
            </w:r>
            <w:r w:rsidR="005259C0">
              <w:rPr>
                <w:rFonts w:ascii="Arial" w:hAnsi="Arial" w:cs="Arial"/>
              </w:rPr>
              <w:t xml:space="preserve">external partners </w:t>
            </w:r>
            <w:r>
              <w:rPr>
                <w:rFonts w:ascii="Arial" w:hAnsi="Arial" w:cs="Arial"/>
              </w:rPr>
              <w:t>with whom the School has already established a contractual relationship. Once these external partners have been identified and the formal contractual processes established (i.e., the description of the work activities, course credit, supervisory arrangements, application process, etc.), the student recruitment and selection process will be announced. The first internships have already been established</w:t>
            </w:r>
            <w:r w:rsidR="00CB58B6">
              <w:rPr>
                <w:rFonts w:ascii="Arial" w:hAnsi="Arial" w:cs="Arial"/>
              </w:rPr>
              <w:t xml:space="preserve"> and will </w:t>
            </w:r>
            <w:r w:rsidR="00F52937">
              <w:rPr>
                <w:rFonts w:ascii="Arial" w:hAnsi="Arial" w:cs="Arial"/>
              </w:rPr>
              <w:t>be active during autumn 2022</w:t>
            </w:r>
            <w:r>
              <w:rPr>
                <w:rFonts w:ascii="Arial" w:hAnsi="Arial" w:cs="Arial"/>
              </w:rPr>
              <w:t xml:space="preserve">. </w:t>
            </w:r>
            <w:r w:rsidR="00D9661A">
              <w:rPr>
                <w:rFonts w:ascii="Arial" w:hAnsi="Arial" w:cs="Arial"/>
                <w:bCs/>
              </w:rPr>
              <w:t>The details of the content to obtain course credit for an internship are specified under the course codes ECN333 and ECN334.</w:t>
            </w:r>
          </w:p>
          <w:p w14:paraId="10EF72B3" w14:textId="77777777" w:rsidR="00836844" w:rsidRDefault="00836844" w:rsidP="00836844">
            <w:pPr>
              <w:rPr>
                <w:rFonts w:ascii="Arial" w:hAnsi="Arial" w:cs="Arial"/>
              </w:rPr>
            </w:pPr>
          </w:p>
          <w:p w14:paraId="4D0FF154" w14:textId="705AEAE1" w:rsidR="00836844" w:rsidRPr="00825F97" w:rsidRDefault="00836844" w:rsidP="00836844">
            <w:pPr>
              <w:rPr>
                <w:rFonts w:ascii="Arial" w:hAnsi="Arial" w:cs="Arial"/>
              </w:rPr>
            </w:pPr>
            <w:r>
              <w:rPr>
                <w:rFonts w:ascii="Arial" w:hAnsi="Arial" w:cs="Arial"/>
              </w:rPr>
              <w:t xml:space="preserve">Finally, the creation of a mentoring program (i.e., executive in residence) </w:t>
            </w:r>
            <w:r w:rsidR="00CD7184">
              <w:rPr>
                <w:rFonts w:ascii="Arial" w:hAnsi="Arial" w:cs="Arial"/>
              </w:rPr>
              <w:t xml:space="preserve">is envisaged </w:t>
            </w:r>
            <w:r>
              <w:rPr>
                <w:rFonts w:ascii="Arial" w:hAnsi="Arial" w:cs="Arial"/>
              </w:rPr>
              <w:t xml:space="preserve">whereby someone from work life would spend one to two days </w:t>
            </w:r>
            <w:r w:rsidR="00763EDD">
              <w:rPr>
                <w:rFonts w:ascii="Arial" w:hAnsi="Arial" w:cs="Arial"/>
              </w:rPr>
              <w:t xml:space="preserve">a week </w:t>
            </w:r>
            <w:r>
              <w:rPr>
                <w:rFonts w:ascii="Arial" w:hAnsi="Arial" w:cs="Arial"/>
              </w:rPr>
              <w:t xml:space="preserve">on campus for a month’s period to: present seminar(s) to the faculty and students; provide guest lecturing in courses relevant to their experience; cooperate through advising and supervising cases, exercises and/or semester projects; and to make themselves available for consultations with students on thesis topics or </w:t>
            </w:r>
            <w:r w:rsidR="0019336C">
              <w:rPr>
                <w:rFonts w:ascii="Arial" w:hAnsi="Arial" w:cs="Arial"/>
              </w:rPr>
              <w:t xml:space="preserve">to have </w:t>
            </w:r>
            <w:r>
              <w:rPr>
                <w:rFonts w:ascii="Arial" w:hAnsi="Arial" w:cs="Arial"/>
              </w:rPr>
              <w:t>discussion</w:t>
            </w:r>
            <w:r w:rsidR="0019336C">
              <w:rPr>
                <w:rFonts w:ascii="Arial" w:hAnsi="Arial" w:cs="Arial"/>
              </w:rPr>
              <w:t>s</w:t>
            </w:r>
            <w:r>
              <w:rPr>
                <w:rFonts w:ascii="Arial" w:hAnsi="Arial" w:cs="Arial"/>
              </w:rPr>
              <w:t xml:space="preserve"> of general interest. These mentors could be alumni, representatives from the companies or institutions with which the programs have established relationships through the pilot internship program, or other experienced professionals and business leaders who are willing to motivate young scholars through their work experience.  </w:t>
            </w:r>
          </w:p>
          <w:p w14:paraId="07DE205B" w14:textId="33540A82" w:rsidR="00CE5EB6" w:rsidRDefault="00CE5EB6" w:rsidP="00571A14">
            <w:pPr>
              <w:autoSpaceDE w:val="0"/>
              <w:autoSpaceDN w:val="0"/>
              <w:adjustRightInd w:val="0"/>
              <w:rPr>
                <w:rFonts w:ascii="Times New Roman" w:hAnsi="Times New Roman" w:cs="Times New Roman"/>
                <w:sz w:val="24"/>
                <w:szCs w:val="24"/>
              </w:rPr>
            </w:pPr>
          </w:p>
        </w:tc>
      </w:tr>
      <w:tr w:rsidR="00443D42" w14:paraId="5A73F23F" w14:textId="77777777" w:rsidTr="00CE5EB6">
        <w:tc>
          <w:tcPr>
            <w:tcW w:w="9016" w:type="dxa"/>
            <w:shd w:val="clear" w:color="auto" w:fill="E2EFD9" w:themeFill="accent6" w:themeFillTint="33"/>
          </w:tcPr>
          <w:p w14:paraId="4FD5E97E" w14:textId="77777777" w:rsidR="00443D42" w:rsidRDefault="00CE5EB6"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Learning outcomes</w:t>
            </w:r>
          </w:p>
          <w:p w14:paraId="0E332089" w14:textId="06A8C9CD" w:rsidR="00CE5EB6" w:rsidRDefault="00CE5EB6" w:rsidP="00571A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(Students’ academic achievements, achieved learning outcomes including interdisciplinarity, sustainability and international perspective and progression)</w:t>
            </w:r>
          </w:p>
        </w:tc>
      </w:tr>
      <w:tr w:rsidR="00443D42" w14:paraId="560FA76F" w14:textId="77777777" w:rsidTr="005646D4">
        <w:tc>
          <w:tcPr>
            <w:tcW w:w="9016" w:type="dxa"/>
          </w:tcPr>
          <w:p w14:paraId="16D8AA50" w14:textId="77777777" w:rsidR="00047105" w:rsidRPr="00C501F4" w:rsidRDefault="00047105" w:rsidP="00047105">
            <w:pPr>
              <w:rPr>
                <w:rFonts w:ascii="Arial" w:hAnsi="Arial" w:cs="Arial"/>
              </w:rPr>
            </w:pPr>
          </w:p>
          <w:p w14:paraId="110A7C22" w14:textId="77777777" w:rsidR="00047105" w:rsidRPr="006F2F68" w:rsidRDefault="00047105" w:rsidP="00047105">
            <w:pPr>
              <w:rPr>
                <w:rFonts w:ascii="Arial" w:hAnsi="Arial" w:cs="Arial"/>
                <w:u w:val="single"/>
              </w:rPr>
            </w:pPr>
            <w:r>
              <w:rPr>
                <w:rFonts w:ascii="Arial" w:hAnsi="Arial" w:cs="Arial"/>
                <w:u w:val="single"/>
              </w:rPr>
              <w:t>A</w:t>
            </w:r>
            <w:r w:rsidRPr="006F2F68">
              <w:rPr>
                <w:rFonts w:ascii="Arial" w:hAnsi="Arial" w:cs="Arial"/>
                <w:u w:val="single"/>
              </w:rPr>
              <w:t>cademic performance</w:t>
            </w:r>
          </w:p>
          <w:p w14:paraId="5A48D940" w14:textId="77777777" w:rsidR="00047105" w:rsidRPr="00991306" w:rsidRDefault="00047105" w:rsidP="00047105">
            <w:pPr>
              <w:rPr>
                <w:rFonts w:ascii="Arial" w:hAnsi="Arial" w:cs="Arial"/>
              </w:rPr>
            </w:pPr>
          </w:p>
          <w:p w14:paraId="37C34F3B" w14:textId="77777777" w:rsidR="00047105" w:rsidRDefault="00047105" w:rsidP="00047105">
            <w:pPr>
              <w:rPr>
                <w:rFonts w:ascii="Arial" w:hAnsi="Arial" w:cs="Arial"/>
              </w:rPr>
            </w:pPr>
            <w:r>
              <w:rPr>
                <w:rFonts w:ascii="Arial" w:hAnsi="Arial" w:cs="Arial"/>
              </w:rPr>
              <w:t>The most widely used indicator to assess the academic performance of the candidates is the grade awarded for a course or their overall grade-point average (GPA). Instructors use a variety of methods to assess student learning, depending on the type of course. The course assessment method typically used is a written final exam, but there are also problem sets, exercises, case studies, or semester projects that are evaluated as part of the grade or as pass/fail. In some cases, the activities serve as an assessment of whether the candidate qualifies to sit for the final written exam.</w:t>
            </w:r>
          </w:p>
          <w:p w14:paraId="5AC36240" w14:textId="77777777" w:rsidR="00047105" w:rsidRDefault="00047105" w:rsidP="00047105">
            <w:pPr>
              <w:rPr>
                <w:rFonts w:ascii="Arial" w:hAnsi="Arial" w:cs="Arial"/>
              </w:rPr>
            </w:pPr>
          </w:p>
          <w:p w14:paraId="149D0699" w14:textId="77777777" w:rsidR="00047105" w:rsidRDefault="00047105" w:rsidP="00047105">
            <w:pPr>
              <w:rPr>
                <w:rFonts w:ascii="Arial" w:hAnsi="Arial" w:cs="Arial"/>
              </w:rPr>
            </w:pPr>
            <w:r>
              <w:rPr>
                <w:rFonts w:ascii="Arial" w:hAnsi="Arial" w:cs="Arial"/>
              </w:rPr>
              <w:t xml:space="preserve">Another important indicator to assess is how well the learning measures in the coursework prepare the candidate for the research and writing of their master’s thesis and defending the work through a presentation during its final oral defense. In general, the coursework GPA should serve as a guide for a candidate’s ability to perform the tasks related to the researching, writing, presentation and oral defense of a thesis. </w:t>
            </w:r>
          </w:p>
          <w:p w14:paraId="6712CAC9" w14:textId="77777777" w:rsidR="00047105" w:rsidRDefault="00047105" w:rsidP="00047105">
            <w:pPr>
              <w:rPr>
                <w:rFonts w:ascii="Arial" w:hAnsi="Arial" w:cs="Arial"/>
              </w:rPr>
            </w:pPr>
          </w:p>
          <w:p w14:paraId="56FA6B7E" w14:textId="31169A41" w:rsidR="00047105" w:rsidRDefault="00047105" w:rsidP="00047105">
            <w:pPr>
              <w:rPr>
                <w:rFonts w:ascii="Arial" w:hAnsi="Arial" w:cs="Arial"/>
              </w:rPr>
            </w:pPr>
            <w:r>
              <w:rPr>
                <w:rFonts w:ascii="Arial" w:hAnsi="Arial" w:cs="Arial"/>
              </w:rPr>
              <w:t xml:space="preserve">Table 5 provides some evidence of how well the performance on the master’s thesis correlates with coursework GPA. The results show that since 2015 the GPA on coursework has become a better predictor of the grade received on the thesis. The results suggest there has been grade inflation on the theses, but that the problem has become less severe. </w:t>
            </w:r>
          </w:p>
          <w:p w14:paraId="5FFA9EE2" w14:textId="539EC423" w:rsidR="00047105" w:rsidRDefault="00047105" w:rsidP="00047105">
            <w:pPr>
              <w:rPr>
                <w:rFonts w:ascii="Arial" w:hAnsi="Arial" w:cs="Arial"/>
              </w:rPr>
            </w:pPr>
          </w:p>
          <w:p w14:paraId="17DA48FD" w14:textId="77777777" w:rsidR="00425E40" w:rsidRDefault="00425E40" w:rsidP="00425E40">
            <w:pPr>
              <w:rPr>
                <w:rFonts w:ascii="Arial" w:hAnsi="Arial" w:cs="Arial"/>
              </w:rPr>
            </w:pPr>
            <w:r>
              <w:rPr>
                <w:rFonts w:ascii="Arial" w:hAnsi="Arial" w:cs="Arial"/>
              </w:rPr>
              <w:t xml:space="preserve">In 2015, only two students had an A GPA on their coursework, but there were nine students who were awarded an A on their thesis. For the five classes presented, there were 10 students who had an A GPA on their coursework, but 26 students received an A on their thesis. In 2019 only the two students who had an A GPA on coursework managed to earn an A on the thesis. Of the 34 students who had a B average on coursework, only 20 of them earned a B on their thesis. This shows that many of the B students in courses were managing a better grade on their thesis. For those students who had lower grades on coursework, their performance on the thesis was more accurately reflected.  </w:t>
            </w:r>
          </w:p>
          <w:p w14:paraId="2C2EC89C" w14:textId="77777777" w:rsidR="00425E40" w:rsidRDefault="00425E40" w:rsidP="00425E40">
            <w:pPr>
              <w:rPr>
                <w:rFonts w:ascii="Arial" w:hAnsi="Arial" w:cs="Arial"/>
              </w:rPr>
            </w:pPr>
          </w:p>
          <w:p w14:paraId="19D2D314" w14:textId="77777777" w:rsidR="00425E40" w:rsidRDefault="00425E40" w:rsidP="00425E40">
            <w:pPr>
              <w:rPr>
                <w:rFonts w:ascii="Arial" w:hAnsi="Arial" w:cs="Arial"/>
              </w:rPr>
            </w:pPr>
            <w:r>
              <w:rPr>
                <w:rFonts w:ascii="Arial" w:hAnsi="Arial" w:cs="Arial"/>
              </w:rPr>
              <w:t xml:space="preserve">Overall, in about half of the cases students earn the same grade on the thesis as their coursework GPA for the five classes presented. For the class entering in 2019 it was 88% </w:t>
            </w:r>
            <w:r>
              <w:rPr>
                <w:rFonts w:ascii="Arial" w:hAnsi="Arial" w:cs="Arial"/>
              </w:rPr>
              <w:lastRenderedPageBreak/>
              <w:t xml:space="preserve">of the students that earned the same grade on the thesis as on their coursework. This compares with 33% for students entering in 2018. The results from the class entering in 2019 provides some evidence that the grading system is becoming more consistent and that there is a reduction in the tendency to inflate the grades on the theses. </w:t>
            </w:r>
          </w:p>
          <w:p w14:paraId="47F867E7" w14:textId="77777777" w:rsidR="00425E40" w:rsidRDefault="00425E40" w:rsidP="00425E40">
            <w:pPr>
              <w:rPr>
                <w:rFonts w:ascii="Arial" w:hAnsi="Arial" w:cs="Arial"/>
              </w:rPr>
            </w:pPr>
          </w:p>
          <w:p w14:paraId="0CD74A16" w14:textId="77777777" w:rsidR="00425E40" w:rsidRDefault="00425E40" w:rsidP="00047105">
            <w:pPr>
              <w:rPr>
                <w:rFonts w:ascii="Arial" w:hAnsi="Arial" w:cs="Arial"/>
              </w:rPr>
            </w:pPr>
          </w:p>
          <w:p w14:paraId="2CAE2356" w14:textId="77777777" w:rsidR="00047105" w:rsidRPr="00365912" w:rsidRDefault="00047105" w:rsidP="00047105">
            <w:pPr>
              <w:rPr>
                <w:rFonts w:ascii="Arial" w:hAnsi="Arial" w:cs="Arial"/>
              </w:rPr>
            </w:pPr>
            <w:bookmarkStart w:id="0" w:name="_Hlk80968436"/>
          </w:p>
          <w:p w14:paraId="2F8E6EEA" w14:textId="77777777" w:rsidR="00047105" w:rsidRPr="008037D4" w:rsidRDefault="00047105" w:rsidP="00047105">
            <w:pPr>
              <w:rPr>
                <w:rFonts w:ascii="Arial" w:hAnsi="Arial" w:cs="Arial"/>
                <w:sz w:val="20"/>
                <w:szCs w:val="20"/>
              </w:rPr>
            </w:pPr>
            <w:bookmarkStart w:id="1" w:name="_Hlk80970860"/>
            <w:r w:rsidRPr="008037D4">
              <w:rPr>
                <w:rFonts w:ascii="Arial" w:hAnsi="Arial" w:cs="Arial"/>
                <w:sz w:val="20"/>
                <w:szCs w:val="20"/>
              </w:rPr>
              <w:t>T</w:t>
            </w:r>
            <w:r w:rsidRPr="009D6CD0">
              <w:rPr>
                <w:rFonts w:ascii="Arial" w:hAnsi="Arial" w:cs="Arial"/>
              </w:rPr>
              <w:t xml:space="preserve">able </w:t>
            </w:r>
            <w:r>
              <w:rPr>
                <w:rFonts w:ascii="Arial" w:hAnsi="Arial" w:cs="Arial"/>
              </w:rPr>
              <w:t>5</w:t>
            </w:r>
            <w:r w:rsidRPr="009D6CD0">
              <w:rPr>
                <w:rFonts w:ascii="Arial" w:hAnsi="Arial" w:cs="Arial"/>
              </w:rPr>
              <w:t xml:space="preserve">. Correlation of </w:t>
            </w:r>
            <w:r>
              <w:rPr>
                <w:rFonts w:ascii="Arial" w:hAnsi="Arial" w:cs="Arial"/>
              </w:rPr>
              <w:t xml:space="preserve">GPA on </w:t>
            </w:r>
            <w:r w:rsidRPr="009D6CD0">
              <w:rPr>
                <w:rFonts w:ascii="Arial" w:hAnsi="Arial" w:cs="Arial"/>
              </w:rPr>
              <w:t>coursework and grade received on thesis</w:t>
            </w:r>
          </w:p>
          <w:tbl>
            <w:tblPr>
              <w:tblStyle w:val="TableGrid"/>
              <w:tblW w:w="0" w:type="auto"/>
              <w:tblLook w:val="04A0" w:firstRow="1" w:lastRow="0" w:firstColumn="1" w:lastColumn="0" w:noHBand="0" w:noVBand="1"/>
            </w:tblPr>
            <w:tblGrid>
              <w:gridCol w:w="1159"/>
              <w:gridCol w:w="1956"/>
              <w:gridCol w:w="720"/>
              <w:gridCol w:w="720"/>
              <w:gridCol w:w="810"/>
              <w:gridCol w:w="630"/>
              <w:gridCol w:w="810"/>
            </w:tblGrid>
            <w:tr w:rsidR="00047105" w:rsidRPr="00B3531A" w14:paraId="54634A05" w14:textId="77777777" w:rsidTr="00161F5D">
              <w:trPr>
                <w:trHeight w:val="321"/>
              </w:trPr>
              <w:tc>
                <w:tcPr>
                  <w:tcW w:w="3115" w:type="dxa"/>
                  <w:gridSpan w:val="2"/>
                  <w:vAlign w:val="center"/>
                </w:tcPr>
                <w:p w14:paraId="0641C43A"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Coursework </w:t>
                  </w:r>
                  <w:r w:rsidRPr="008037D4">
                    <w:rPr>
                      <w:rFonts w:ascii="Arial" w:hAnsi="Arial" w:cs="Arial"/>
                      <w:sz w:val="20"/>
                      <w:szCs w:val="20"/>
                    </w:rPr>
                    <w:t>GPA</w:t>
                  </w:r>
                </w:p>
              </w:tc>
              <w:tc>
                <w:tcPr>
                  <w:tcW w:w="3690" w:type="dxa"/>
                  <w:gridSpan w:val="5"/>
                  <w:tcBorders>
                    <w:bottom w:val="single" w:sz="4" w:space="0" w:color="auto"/>
                  </w:tcBorders>
                  <w:vAlign w:val="center"/>
                </w:tcPr>
                <w:p w14:paraId="2411A7E9"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Grade received on thesis</w:t>
                  </w:r>
                </w:p>
              </w:tc>
            </w:tr>
            <w:tr w:rsidR="00047105" w:rsidRPr="00B3531A" w14:paraId="133D858C" w14:textId="77777777" w:rsidTr="00161F5D">
              <w:tc>
                <w:tcPr>
                  <w:tcW w:w="1159" w:type="dxa"/>
                  <w:tcBorders>
                    <w:right w:val="nil"/>
                  </w:tcBorders>
                  <w:vAlign w:val="center"/>
                </w:tcPr>
                <w:p w14:paraId="001B7A63" w14:textId="77777777" w:rsidR="00047105" w:rsidRPr="008037D4" w:rsidRDefault="00047105" w:rsidP="00047105">
                  <w:pPr>
                    <w:jc w:val="center"/>
                    <w:rPr>
                      <w:rFonts w:ascii="Arial" w:hAnsi="Arial" w:cs="Arial"/>
                      <w:sz w:val="20"/>
                      <w:szCs w:val="20"/>
                    </w:rPr>
                  </w:pPr>
                  <w:r>
                    <w:rPr>
                      <w:rFonts w:ascii="Arial" w:hAnsi="Arial" w:cs="Arial"/>
                      <w:sz w:val="20"/>
                      <w:szCs w:val="20"/>
                    </w:rPr>
                    <w:t>GPA</w:t>
                  </w:r>
                </w:p>
              </w:tc>
              <w:tc>
                <w:tcPr>
                  <w:tcW w:w="1956" w:type="dxa"/>
                  <w:tcBorders>
                    <w:left w:val="nil"/>
                  </w:tcBorders>
                  <w:vAlign w:val="center"/>
                </w:tcPr>
                <w:p w14:paraId="3932CFE7" w14:textId="77777777" w:rsidR="00047105" w:rsidRPr="008037D4" w:rsidRDefault="00047105" w:rsidP="00047105">
                  <w:pPr>
                    <w:jc w:val="center"/>
                    <w:rPr>
                      <w:rFonts w:ascii="Arial" w:hAnsi="Arial" w:cs="Arial"/>
                      <w:sz w:val="20"/>
                      <w:szCs w:val="20"/>
                    </w:rPr>
                  </w:pPr>
                  <w:r>
                    <w:rPr>
                      <w:rFonts w:ascii="Arial" w:hAnsi="Arial" w:cs="Arial"/>
                      <w:sz w:val="20"/>
                      <w:szCs w:val="20"/>
                    </w:rPr>
                    <w:t>Number of candidates</w:t>
                  </w:r>
                </w:p>
              </w:tc>
              <w:tc>
                <w:tcPr>
                  <w:tcW w:w="720" w:type="dxa"/>
                  <w:tcBorders>
                    <w:right w:val="nil"/>
                  </w:tcBorders>
                  <w:vAlign w:val="center"/>
                </w:tcPr>
                <w:p w14:paraId="6D5EA3A3"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A</w:t>
                  </w:r>
                </w:p>
              </w:tc>
              <w:tc>
                <w:tcPr>
                  <w:tcW w:w="720" w:type="dxa"/>
                  <w:tcBorders>
                    <w:left w:val="nil"/>
                    <w:right w:val="nil"/>
                  </w:tcBorders>
                  <w:vAlign w:val="center"/>
                </w:tcPr>
                <w:p w14:paraId="62B8A0D2"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B</w:t>
                  </w:r>
                </w:p>
              </w:tc>
              <w:tc>
                <w:tcPr>
                  <w:tcW w:w="810" w:type="dxa"/>
                  <w:tcBorders>
                    <w:left w:val="nil"/>
                    <w:right w:val="nil"/>
                  </w:tcBorders>
                  <w:vAlign w:val="center"/>
                </w:tcPr>
                <w:p w14:paraId="5FFE74D3"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C</w:t>
                  </w:r>
                </w:p>
              </w:tc>
              <w:tc>
                <w:tcPr>
                  <w:tcW w:w="630" w:type="dxa"/>
                  <w:tcBorders>
                    <w:left w:val="nil"/>
                    <w:right w:val="nil"/>
                  </w:tcBorders>
                  <w:vAlign w:val="center"/>
                </w:tcPr>
                <w:p w14:paraId="3FD4A901"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D</w:t>
                  </w:r>
                </w:p>
              </w:tc>
              <w:tc>
                <w:tcPr>
                  <w:tcW w:w="810" w:type="dxa"/>
                  <w:tcBorders>
                    <w:left w:val="nil"/>
                  </w:tcBorders>
                  <w:vAlign w:val="center"/>
                </w:tcPr>
                <w:p w14:paraId="5C6469D9"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E</w:t>
                  </w:r>
                </w:p>
              </w:tc>
            </w:tr>
            <w:tr w:rsidR="00047105" w:rsidRPr="00B3531A" w14:paraId="398B4230" w14:textId="77777777" w:rsidTr="00161F5D">
              <w:tc>
                <w:tcPr>
                  <w:tcW w:w="6805" w:type="dxa"/>
                  <w:gridSpan w:val="7"/>
                  <w:tcBorders>
                    <w:bottom w:val="single" w:sz="4" w:space="0" w:color="auto"/>
                  </w:tcBorders>
                </w:tcPr>
                <w:p w14:paraId="3A390BEC" w14:textId="77777777" w:rsidR="00047105" w:rsidRPr="008037D4" w:rsidRDefault="00047105" w:rsidP="00047105">
                  <w:pPr>
                    <w:rPr>
                      <w:rFonts w:ascii="Arial" w:hAnsi="Arial" w:cs="Arial"/>
                      <w:sz w:val="20"/>
                      <w:szCs w:val="20"/>
                    </w:rPr>
                  </w:pPr>
                  <w:r w:rsidRPr="008037D4">
                    <w:rPr>
                      <w:rFonts w:ascii="Arial" w:hAnsi="Arial" w:cs="Arial"/>
                      <w:sz w:val="20"/>
                      <w:szCs w:val="20"/>
                    </w:rPr>
                    <w:t>Candidates entering in 2015</w:t>
                  </w:r>
                </w:p>
              </w:tc>
            </w:tr>
            <w:tr w:rsidR="00047105" w:rsidRPr="00B3531A" w14:paraId="1AFE418A" w14:textId="77777777" w:rsidTr="00161F5D">
              <w:tc>
                <w:tcPr>
                  <w:tcW w:w="1159" w:type="dxa"/>
                  <w:tcBorders>
                    <w:bottom w:val="nil"/>
                    <w:right w:val="nil"/>
                  </w:tcBorders>
                </w:tcPr>
                <w:p w14:paraId="2E770308" w14:textId="77777777" w:rsidR="00047105" w:rsidRPr="008037D4" w:rsidRDefault="00047105" w:rsidP="00047105">
                  <w:pPr>
                    <w:jc w:val="center"/>
                    <w:rPr>
                      <w:rFonts w:ascii="Arial" w:hAnsi="Arial" w:cs="Arial"/>
                      <w:sz w:val="20"/>
                      <w:szCs w:val="20"/>
                    </w:rPr>
                  </w:pPr>
                  <w:bookmarkStart w:id="2" w:name="_Hlk48134330"/>
                  <w:r w:rsidRPr="008037D4">
                    <w:rPr>
                      <w:rFonts w:ascii="Arial" w:hAnsi="Arial" w:cs="Arial"/>
                      <w:sz w:val="20"/>
                      <w:szCs w:val="20"/>
                    </w:rPr>
                    <w:t>A</w:t>
                  </w:r>
                </w:p>
              </w:tc>
              <w:tc>
                <w:tcPr>
                  <w:tcW w:w="1956" w:type="dxa"/>
                  <w:tcBorders>
                    <w:left w:val="nil"/>
                    <w:bottom w:val="nil"/>
                    <w:right w:val="single" w:sz="4" w:space="0" w:color="auto"/>
                  </w:tcBorders>
                </w:tcPr>
                <w:p w14:paraId="26BC0A59"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left w:val="single" w:sz="4" w:space="0" w:color="auto"/>
                    <w:bottom w:val="nil"/>
                    <w:right w:val="nil"/>
                  </w:tcBorders>
                  <w:shd w:val="clear" w:color="auto" w:fill="A6A6A6" w:themeFill="background1" w:themeFillShade="A6"/>
                </w:tcPr>
                <w:p w14:paraId="16E5B3E7"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left w:val="nil"/>
                    <w:bottom w:val="nil"/>
                    <w:right w:val="nil"/>
                  </w:tcBorders>
                  <w:shd w:val="diagCross" w:color="FBE4D5" w:themeColor="accent2" w:themeTint="33" w:fill="auto"/>
                </w:tcPr>
                <w:p w14:paraId="053367E8"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0</w:t>
                  </w:r>
                </w:p>
              </w:tc>
              <w:tc>
                <w:tcPr>
                  <w:tcW w:w="810" w:type="dxa"/>
                  <w:tcBorders>
                    <w:left w:val="nil"/>
                    <w:bottom w:val="nil"/>
                    <w:right w:val="nil"/>
                  </w:tcBorders>
                  <w:shd w:val="diagCross" w:color="FBE4D5" w:themeColor="accent2" w:themeTint="33" w:fill="auto"/>
                </w:tcPr>
                <w:p w14:paraId="2025F198"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0</w:t>
                  </w:r>
                </w:p>
              </w:tc>
              <w:tc>
                <w:tcPr>
                  <w:tcW w:w="630" w:type="dxa"/>
                  <w:tcBorders>
                    <w:left w:val="nil"/>
                    <w:bottom w:val="nil"/>
                    <w:right w:val="nil"/>
                  </w:tcBorders>
                  <w:shd w:val="diagCross" w:color="FBE4D5" w:themeColor="accent2" w:themeTint="33" w:fill="auto"/>
                </w:tcPr>
                <w:p w14:paraId="6AB2248A"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w:t>
                  </w:r>
                  <w:r w:rsidRPr="008037D4">
                    <w:rPr>
                      <w:rFonts w:ascii="Arial" w:hAnsi="Arial" w:cs="Arial"/>
                      <w:sz w:val="20"/>
                      <w:szCs w:val="20"/>
                    </w:rPr>
                    <w:t>0</w:t>
                  </w:r>
                </w:p>
              </w:tc>
              <w:tc>
                <w:tcPr>
                  <w:tcW w:w="810" w:type="dxa"/>
                  <w:tcBorders>
                    <w:left w:val="nil"/>
                    <w:bottom w:val="nil"/>
                  </w:tcBorders>
                  <w:shd w:val="diagCross" w:color="FBE4D5" w:themeColor="accent2" w:themeTint="33" w:fill="auto"/>
                </w:tcPr>
                <w:p w14:paraId="4F30B78B"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0</w:t>
                  </w:r>
                </w:p>
              </w:tc>
            </w:tr>
            <w:tr w:rsidR="00047105" w:rsidRPr="00B3531A" w14:paraId="60DF4435" w14:textId="77777777" w:rsidTr="00161F5D">
              <w:tc>
                <w:tcPr>
                  <w:tcW w:w="1159" w:type="dxa"/>
                  <w:tcBorders>
                    <w:top w:val="nil"/>
                    <w:bottom w:val="nil"/>
                    <w:right w:val="nil"/>
                  </w:tcBorders>
                </w:tcPr>
                <w:p w14:paraId="27251025" w14:textId="77777777" w:rsidR="00047105" w:rsidRPr="008037D4" w:rsidRDefault="00047105" w:rsidP="00047105">
                  <w:pPr>
                    <w:jc w:val="center"/>
                    <w:rPr>
                      <w:rFonts w:ascii="Arial" w:hAnsi="Arial" w:cs="Arial"/>
                      <w:sz w:val="20"/>
                      <w:szCs w:val="20"/>
                    </w:rPr>
                  </w:pPr>
                  <w:bookmarkStart w:id="3" w:name="_Hlk48138085"/>
                  <w:r w:rsidRPr="008037D4">
                    <w:rPr>
                      <w:rFonts w:ascii="Arial" w:hAnsi="Arial" w:cs="Arial"/>
                      <w:sz w:val="20"/>
                      <w:szCs w:val="20"/>
                    </w:rPr>
                    <w:t>B</w:t>
                  </w:r>
                </w:p>
              </w:tc>
              <w:tc>
                <w:tcPr>
                  <w:tcW w:w="1956" w:type="dxa"/>
                  <w:tcBorders>
                    <w:top w:val="nil"/>
                    <w:left w:val="nil"/>
                    <w:bottom w:val="nil"/>
                    <w:right w:val="single" w:sz="4" w:space="0" w:color="auto"/>
                  </w:tcBorders>
                </w:tcPr>
                <w:p w14:paraId="53E91A15"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1</w:t>
                  </w:r>
                  <w:r>
                    <w:rPr>
                      <w:rFonts w:ascii="Arial" w:hAnsi="Arial" w:cs="Arial"/>
                      <w:sz w:val="20"/>
                      <w:szCs w:val="20"/>
                    </w:rPr>
                    <w:t>0</w:t>
                  </w:r>
                </w:p>
              </w:tc>
              <w:tc>
                <w:tcPr>
                  <w:tcW w:w="720" w:type="dxa"/>
                  <w:tcBorders>
                    <w:top w:val="nil"/>
                    <w:left w:val="single" w:sz="4" w:space="0" w:color="auto"/>
                    <w:bottom w:val="nil"/>
                    <w:right w:val="nil"/>
                  </w:tcBorders>
                  <w:shd w:val="reverseDiagStripe" w:color="E2EFD9" w:themeColor="accent6" w:themeTint="33" w:fill="FFFFFF" w:themeFill="background1"/>
                </w:tcPr>
                <w:p w14:paraId="309A6BC6"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7</w:t>
                  </w:r>
                </w:p>
              </w:tc>
              <w:tc>
                <w:tcPr>
                  <w:tcW w:w="720" w:type="dxa"/>
                  <w:tcBorders>
                    <w:top w:val="nil"/>
                    <w:left w:val="nil"/>
                    <w:bottom w:val="nil"/>
                    <w:right w:val="nil"/>
                  </w:tcBorders>
                  <w:shd w:val="clear" w:color="auto" w:fill="A6A6A6" w:themeFill="background1" w:themeFillShade="A6"/>
                </w:tcPr>
                <w:p w14:paraId="2F256419" w14:textId="77777777" w:rsidR="00047105" w:rsidRPr="008037D4" w:rsidRDefault="00047105" w:rsidP="00047105">
                  <w:pPr>
                    <w:jc w:val="center"/>
                    <w:rPr>
                      <w:rFonts w:ascii="Arial" w:hAnsi="Arial" w:cs="Arial"/>
                      <w:sz w:val="20"/>
                      <w:szCs w:val="20"/>
                    </w:rPr>
                  </w:pPr>
                  <w:r>
                    <w:rPr>
                      <w:rFonts w:ascii="Arial" w:hAnsi="Arial" w:cs="Arial"/>
                      <w:sz w:val="20"/>
                      <w:szCs w:val="20"/>
                    </w:rPr>
                    <w:t>1</w:t>
                  </w:r>
                </w:p>
              </w:tc>
              <w:tc>
                <w:tcPr>
                  <w:tcW w:w="810" w:type="dxa"/>
                  <w:tcBorders>
                    <w:top w:val="nil"/>
                    <w:left w:val="nil"/>
                    <w:bottom w:val="nil"/>
                    <w:right w:val="nil"/>
                  </w:tcBorders>
                  <w:shd w:val="diagCross" w:color="FBE4D5" w:themeColor="accent2" w:themeTint="33" w:fill="auto"/>
                </w:tcPr>
                <w:p w14:paraId="487DCC67"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2</w:t>
                  </w:r>
                </w:p>
              </w:tc>
              <w:tc>
                <w:tcPr>
                  <w:tcW w:w="630" w:type="dxa"/>
                  <w:tcBorders>
                    <w:top w:val="nil"/>
                    <w:left w:val="nil"/>
                    <w:bottom w:val="nil"/>
                    <w:right w:val="nil"/>
                  </w:tcBorders>
                  <w:shd w:val="diagCross" w:color="FBE4D5" w:themeColor="accent2" w:themeTint="33" w:fill="auto"/>
                </w:tcPr>
                <w:p w14:paraId="1D176389"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w:t>
                  </w:r>
                  <w:r w:rsidRPr="008037D4">
                    <w:rPr>
                      <w:rFonts w:ascii="Arial" w:hAnsi="Arial" w:cs="Arial"/>
                      <w:sz w:val="20"/>
                      <w:szCs w:val="20"/>
                    </w:rPr>
                    <w:t>0</w:t>
                  </w:r>
                </w:p>
              </w:tc>
              <w:tc>
                <w:tcPr>
                  <w:tcW w:w="810" w:type="dxa"/>
                  <w:tcBorders>
                    <w:top w:val="nil"/>
                    <w:left w:val="nil"/>
                    <w:bottom w:val="nil"/>
                  </w:tcBorders>
                  <w:shd w:val="diagCross" w:color="FBE4D5" w:themeColor="accent2" w:themeTint="33" w:fill="auto"/>
                </w:tcPr>
                <w:p w14:paraId="255249A0" w14:textId="77777777" w:rsidR="00047105" w:rsidRPr="008037D4" w:rsidRDefault="00047105" w:rsidP="00047105">
                  <w:pPr>
                    <w:jc w:val="center"/>
                    <w:rPr>
                      <w:rFonts w:ascii="Arial" w:hAnsi="Arial" w:cs="Arial"/>
                      <w:sz w:val="20"/>
                      <w:szCs w:val="20"/>
                    </w:rPr>
                  </w:pPr>
                  <w:r w:rsidRPr="008037D4">
                    <w:rPr>
                      <w:rFonts w:ascii="Arial" w:hAnsi="Arial" w:cs="Arial"/>
                      <w:sz w:val="20"/>
                      <w:szCs w:val="20"/>
                    </w:rPr>
                    <w:t>0</w:t>
                  </w:r>
                </w:p>
              </w:tc>
            </w:tr>
            <w:tr w:rsidR="00047105" w:rsidRPr="00B3531A" w14:paraId="47EC79D7" w14:textId="77777777" w:rsidTr="00161F5D">
              <w:tc>
                <w:tcPr>
                  <w:tcW w:w="1159" w:type="dxa"/>
                  <w:tcBorders>
                    <w:top w:val="nil"/>
                    <w:bottom w:val="nil"/>
                    <w:right w:val="nil"/>
                  </w:tcBorders>
                </w:tcPr>
                <w:p w14:paraId="70489139" w14:textId="77777777" w:rsidR="00047105" w:rsidRPr="008037D4" w:rsidRDefault="00047105" w:rsidP="00047105">
                  <w:pPr>
                    <w:jc w:val="center"/>
                    <w:rPr>
                      <w:rFonts w:ascii="Arial" w:hAnsi="Arial" w:cs="Arial"/>
                      <w:sz w:val="20"/>
                      <w:szCs w:val="20"/>
                    </w:rPr>
                  </w:pPr>
                  <w:bookmarkStart w:id="4" w:name="_Hlk48138173"/>
                  <w:r>
                    <w:rPr>
                      <w:rFonts w:ascii="Arial" w:hAnsi="Arial" w:cs="Arial"/>
                      <w:sz w:val="20"/>
                      <w:szCs w:val="20"/>
                    </w:rPr>
                    <w:t>C</w:t>
                  </w:r>
                </w:p>
              </w:tc>
              <w:tc>
                <w:tcPr>
                  <w:tcW w:w="1956" w:type="dxa"/>
                  <w:tcBorders>
                    <w:top w:val="nil"/>
                    <w:left w:val="nil"/>
                    <w:bottom w:val="nil"/>
                    <w:right w:val="single" w:sz="4" w:space="0" w:color="auto"/>
                  </w:tcBorders>
                </w:tcPr>
                <w:p w14:paraId="2AF82E18"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4</w:t>
                  </w:r>
                </w:p>
              </w:tc>
              <w:tc>
                <w:tcPr>
                  <w:tcW w:w="720" w:type="dxa"/>
                  <w:tcBorders>
                    <w:top w:val="nil"/>
                    <w:left w:val="single" w:sz="4" w:space="0" w:color="auto"/>
                    <w:bottom w:val="nil"/>
                    <w:right w:val="nil"/>
                  </w:tcBorders>
                  <w:shd w:val="reverseDiagStripe" w:color="E2EFD9" w:themeColor="accent6" w:themeTint="33" w:fill="FFFFFF" w:themeFill="background1"/>
                </w:tcPr>
                <w:p w14:paraId="0E0D2843"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bottom w:val="nil"/>
                    <w:right w:val="nil"/>
                  </w:tcBorders>
                  <w:shd w:val="reverseDiagStripe" w:color="E2EFD9" w:themeColor="accent6" w:themeTint="33" w:fill="FFFFFF" w:themeFill="background1"/>
                </w:tcPr>
                <w:p w14:paraId="29CE4824" w14:textId="77777777" w:rsidR="00047105" w:rsidRPr="008037D4" w:rsidRDefault="00047105" w:rsidP="00047105">
                  <w:pPr>
                    <w:jc w:val="center"/>
                    <w:rPr>
                      <w:rFonts w:ascii="Arial" w:hAnsi="Arial" w:cs="Arial"/>
                      <w:sz w:val="20"/>
                      <w:szCs w:val="20"/>
                    </w:rPr>
                  </w:pPr>
                  <w:r>
                    <w:rPr>
                      <w:rFonts w:ascii="Arial" w:hAnsi="Arial" w:cs="Arial"/>
                      <w:sz w:val="20"/>
                      <w:szCs w:val="20"/>
                    </w:rPr>
                    <w:t>0</w:t>
                  </w:r>
                </w:p>
              </w:tc>
              <w:tc>
                <w:tcPr>
                  <w:tcW w:w="810" w:type="dxa"/>
                  <w:tcBorders>
                    <w:top w:val="nil"/>
                    <w:left w:val="nil"/>
                    <w:bottom w:val="nil"/>
                    <w:right w:val="nil"/>
                  </w:tcBorders>
                  <w:shd w:val="clear" w:color="auto" w:fill="A6A6A6" w:themeFill="background1" w:themeFillShade="A6"/>
                </w:tcPr>
                <w:p w14:paraId="69B25096" w14:textId="77777777" w:rsidR="00047105" w:rsidRPr="008037D4" w:rsidRDefault="00047105" w:rsidP="00047105">
                  <w:pPr>
                    <w:jc w:val="center"/>
                    <w:rPr>
                      <w:rFonts w:ascii="Arial" w:hAnsi="Arial" w:cs="Arial"/>
                      <w:sz w:val="20"/>
                      <w:szCs w:val="20"/>
                    </w:rPr>
                  </w:pPr>
                  <w:r>
                    <w:rPr>
                      <w:rFonts w:ascii="Arial" w:hAnsi="Arial" w:cs="Arial"/>
                      <w:sz w:val="20"/>
                      <w:szCs w:val="20"/>
                    </w:rPr>
                    <w:t>0</w:t>
                  </w:r>
                </w:p>
              </w:tc>
              <w:tc>
                <w:tcPr>
                  <w:tcW w:w="630" w:type="dxa"/>
                  <w:tcBorders>
                    <w:top w:val="nil"/>
                    <w:left w:val="nil"/>
                    <w:bottom w:val="nil"/>
                    <w:right w:val="nil"/>
                  </w:tcBorders>
                  <w:shd w:val="diagCross" w:color="FBE4D5" w:themeColor="accent2" w:themeTint="33" w:fill="auto"/>
                </w:tcPr>
                <w:p w14:paraId="78CA7D94"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4</w:t>
                  </w:r>
                </w:p>
              </w:tc>
              <w:tc>
                <w:tcPr>
                  <w:tcW w:w="810" w:type="dxa"/>
                  <w:tcBorders>
                    <w:top w:val="nil"/>
                    <w:left w:val="nil"/>
                    <w:bottom w:val="nil"/>
                  </w:tcBorders>
                  <w:shd w:val="diagCross" w:color="FBE4D5" w:themeColor="accent2" w:themeTint="33" w:fill="auto"/>
                </w:tcPr>
                <w:p w14:paraId="0B4096F9" w14:textId="77777777" w:rsidR="00047105" w:rsidRPr="008037D4" w:rsidRDefault="00047105" w:rsidP="00047105">
                  <w:pPr>
                    <w:jc w:val="center"/>
                    <w:rPr>
                      <w:rFonts w:ascii="Arial" w:hAnsi="Arial" w:cs="Arial"/>
                      <w:sz w:val="20"/>
                      <w:szCs w:val="20"/>
                    </w:rPr>
                  </w:pPr>
                  <w:r>
                    <w:rPr>
                      <w:rFonts w:ascii="Arial" w:hAnsi="Arial" w:cs="Arial"/>
                      <w:sz w:val="20"/>
                      <w:szCs w:val="20"/>
                    </w:rPr>
                    <w:t>0</w:t>
                  </w:r>
                </w:p>
              </w:tc>
            </w:tr>
            <w:bookmarkEnd w:id="3"/>
            <w:tr w:rsidR="00047105" w:rsidRPr="00B3531A" w14:paraId="0C84C100" w14:textId="77777777" w:rsidTr="00161F5D">
              <w:tc>
                <w:tcPr>
                  <w:tcW w:w="1159" w:type="dxa"/>
                  <w:tcBorders>
                    <w:top w:val="nil"/>
                    <w:bottom w:val="nil"/>
                    <w:right w:val="nil"/>
                  </w:tcBorders>
                </w:tcPr>
                <w:p w14:paraId="560B0D76" w14:textId="77777777" w:rsidR="00047105" w:rsidRPr="008037D4" w:rsidRDefault="00047105" w:rsidP="00047105">
                  <w:pPr>
                    <w:jc w:val="center"/>
                    <w:rPr>
                      <w:rFonts w:ascii="Arial" w:hAnsi="Arial" w:cs="Arial"/>
                      <w:sz w:val="20"/>
                      <w:szCs w:val="20"/>
                    </w:rPr>
                  </w:pPr>
                  <w:r>
                    <w:rPr>
                      <w:rFonts w:ascii="Arial" w:hAnsi="Arial" w:cs="Arial"/>
                      <w:sz w:val="20"/>
                      <w:szCs w:val="20"/>
                    </w:rPr>
                    <w:t>D</w:t>
                  </w:r>
                </w:p>
              </w:tc>
              <w:tc>
                <w:tcPr>
                  <w:tcW w:w="1956" w:type="dxa"/>
                  <w:tcBorders>
                    <w:top w:val="nil"/>
                    <w:left w:val="nil"/>
                    <w:bottom w:val="nil"/>
                    <w:right w:val="single" w:sz="4" w:space="0" w:color="auto"/>
                  </w:tcBorders>
                </w:tcPr>
                <w:p w14:paraId="01105857"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single" w:sz="4" w:space="0" w:color="auto"/>
                    <w:bottom w:val="nil"/>
                    <w:right w:val="nil"/>
                  </w:tcBorders>
                  <w:shd w:val="reverseDiagStripe" w:color="E2EFD9" w:themeColor="accent6" w:themeTint="33" w:fill="FFFFFF" w:themeFill="background1"/>
                </w:tcPr>
                <w:p w14:paraId="6B19A75E"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bottom w:val="nil"/>
                    <w:right w:val="nil"/>
                  </w:tcBorders>
                  <w:shd w:val="reverseDiagStripe" w:color="E2EFD9" w:themeColor="accent6" w:themeTint="33" w:fill="FFFFFF" w:themeFill="background1"/>
                </w:tcPr>
                <w:p w14:paraId="5236AFF8" w14:textId="77777777" w:rsidR="00047105" w:rsidRPr="008037D4" w:rsidRDefault="00047105" w:rsidP="00047105">
                  <w:pPr>
                    <w:jc w:val="center"/>
                    <w:rPr>
                      <w:rFonts w:ascii="Arial" w:hAnsi="Arial" w:cs="Arial"/>
                      <w:sz w:val="20"/>
                      <w:szCs w:val="20"/>
                    </w:rPr>
                  </w:pPr>
                  <w:r>
                    <w:rPr>
                      <w:rFonts w:ascii="Arial" w:hAnsi="Arial" w:cs="Arial"/>
                      <w:sz w:val="20"/>
                      <w:szCs w:val="20"/>
                    </w:rPr>
                    <w:t>0</w:t>
                  </w:r>
                </w:p>
              </w:tc>
              <w:tc>
                <w:tcPr>
                  <w:tcW w:w="810" w:type="dxa"/>
                  <w:tcBorders>
                    <w:top w:val="nil"/>
                    <w:left w:val="nil"/>
                    <w:bottom w:val="nil"/>
                    <w:right w:val="nil"/>
                  </w:tcBorders>
                  <w:shd w:val="reverseDiagStripe" w:color="E2EFD9" w:themeColor="accent6" w:themeTint="33" w:fill="FFFFFF" w:themeFill="background1"/>
                </w:tcPr>
                <w:p w14:paraId="170994FD" w14:textId="77777777" w:rsidR="00047105" w:rsidRPr="008037D4" w:rsidRDefault="00047105" w:rsidP="00047105">
                  <w:pPr>
                    <w:jc w:val="center"/>
                    <w:rPr>
                      <w:rFonts w:ascii="Arial" w:hAnsi="Arial" w:cs="Arial"/>
                      <w:sz w:val="20"/>
                      <w:szCs w:val="20"/>
                    </w:rPr>
                  </w:pPr>
                  <w:r>
                    <w:rPr>
                      <w:rFonts w:ascii="Arial" w:hAnsi="Arial" w:cs="Arial"/>
                      <w:sz w:val="20"/>
                      <w:szCs w:val="20"/>
                    </w:rPr>
                    <w:t>0</w:t>
                  </w:r>
                </w:p>
              </w:tc>
              <w:tc>
                <w:tcPr>
                  <w:tcW w:w="630" w:type="dxa"/>
                  <w:tcBorders>
                    <w:top w:val="nil"/>
                    <w:left w:val="nil"/>
                    <w:bottom w:val="nil"/>
                    <w:right w:val="nil"/>
                  </w:tcBorders>
                  <w:shd w:val="clear" w:color="auto" w:fill="A6A6A6" w:themeFill="background1" w:themeFillShade="A6"/>
                </w:tcPr>
                <w:p w14:paraId="65A563DB" w14:textId="77777777" w:rsidR="00047105" w:rsidRPr="008037D4"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nil"/>
                  </w:tcBorders>
                  <w:shd w:val="diagCross" w:color="FBE4D5" w:themeColor="accent2" w:themeTint="33" w:fill="auto"/>
                </w:tcPr>
                <w:p w14:paraId="14F4C05F" w14:textId="77777777" w:rsidR="00047105" w:rsidRPr="008037D4"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2E4FAEA5" w14:textId="77777777" w:rsidTr="00161F5D">
              <w:tc>
                <w:tcPr>
                  <w:tcW w:w="1159" w:type="dxa"/>
                  <w:tcBorders>
                    <w:top w:val="nil"/>
                    <w:right w:val="nil"/>
                  </w:tcBorders>
                </w:tcPr>
                <w:p w14:paraId="5BECD139" w14:textId="77777777" w:rsidR="00047105" w:rsidRDefault="00047105" w:rsidP="00047105">
                  <w:pPr>
                    <w:jc w:val="center"/>
                    <w:rPr>
                      <w:rFonts w:ascii="Arial" w:hAnsi="Arial" w:cs="Arial"/>
                      <w:sz w:val="20"/>
                      <w:szCs w:val="20"/>
                    </w:rPr>
                  </w:pPr>
                  <w:r>
                    <w:rPr>
                      <w:rFonts w:ascii="Arial" w:hAnsi="Arial" w:cs="Arial"/>
                      <w:sz w:val="20"/>
                      <w:szCs w:val="20"/>
                    </w:rPr>
                    <w:t>E</w:t>
                  </w:r>
                </w:p>
              </w:tc>
              <w:tc>
                <w:tcPr>
                  <w:tcW w:w="1956" w:type="dxa"/>
                  <w:tcBorders>
                    <w:top w:val="nil"/>
                    <w:left w:val="nil"/>
                    <w:right w:val="single" w:sz="4" w:space="0" w:color="auto"/>
                  </w:tcBorders>
                </w:tcPr>
                <w:p w14:paraId="272368B3"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720" w:type="dxa"/>
                  <w:tcBorders>
                    <w:top w:val="nil"/>
                    <w:left w:val="single" w:sz="4" w:space="0" w:color="auto"/>
                    <w:right w:val="nil"/>
                  </w:tcBorders>
                  <w:shd w:val="reverseDiagStripe" w:color="E2EFD9" w:themeColor="accent6" w:themeTint="33" w:fill="FFFFFF" w:themeFill="background1"/>
                </w:tcPr>
                <w:p w14:paraId="14747193"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right w:val="nil"/>
                  </w:tcBorders>
                  <w:shd w:val="reverseDiagStripe" w:color="E2EFD9" w:themeColor="accent6" w:themeTint="33" w:fill="FFFFFF" w:themeFill="background1"/>
                </w:tcPr>
                <w:p w14:paraId="5235C003" w14:textId="77777777" w:rsidR="00047105" w:rsidRDefault="00047105" w:rsidP="00047105">
                  <w:pPr>
                    <w:jc w:val="center"/>
                    <w:rPr>
                      <w:rFonts w:ascii="Arial" w:hAnsi="Arial" w:cs="Arial"/>
                      <w:sz w:val="20"/>
                      <w:szCs w:val="20"/>
                    </w:rPr>
                  </w:pPr>
                  <w:r>
                    <w:rPr>
                      <w:rFonts w:ascii="Arial" w:hAnsi="Arial" w:cs="Arial"/>
                      <w:sz w:val="20"/>
                      <w:szCs w:val="20"/>
                    </w:rPr>
                    <w:t>0</w:t>
                  </w:r>
                </w:p>
              </w:tc>
              <w:tc>
                <w:tcPr>
                  <w:tcW w:w="810" w:type="dxa"/>
                  <w:tcBorders>
                    <w:top w:val="nil"/>
                    <w:left w:val="nil"/>
                    <w:right w:val="nil"/>
                  </w:tcBorders>
                  <w:shd w:val="reverseDiagStripe" w:color="E2EFD9" w:themeColor="accent6" w:themeTint="33" w:fill="FFFFFF" w:themeFill="background1"/>
                </w:tcPr>
                <w:p w14:paraId="731401FD" w14:textId="77777777" w:rsidR="00047105" w:rsidRDefault="00047105" w:rsidP="00047105">
                  <w:pPr>
                    <w:jc w:val="center"/>
                    <w:rPr>
                      <w:rFonts w:ascii="Arial" w:hAnsi="Arial" w:cs="Arial"/>
                      <w:sz w:val="20"/>
                      <w:szCs w:val="20"/>
                    </w:rPr>
                  </w:pPr>
                  <w:r>
                    <w:rPr>
                      <w:rFonts w:ascii="Arial" w:hAnsi="Arial" w:cs="Arial"/>
                      <w:sz w:val="20"/>
                      <w:szCs w:val="20"/>
                    </w:rPr>
                    <w:t>0</w:t>
                  </w:r>
                </w:p>
              </w:tc>
              <w:tc>
                <w:tcPr>
                  <w:tcW w:w="630" w:type="dxa"/>
                  <w:tcBorders>
                    <w:top w:val="nil"/>
                    <w:left w:val="nil"/>
                    <w:right w:val="nil"/>
                  </w:tcBorders>
                  <w:shd w:val="reverseDiagStripe" w:color="E2EFD9" w:themeColor="accent6" w:themeTint="33" w:fill="auto"/>
                </w:tcPr>
                <w:p w14:paraId="619D2B03"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tcBorders>
                  <w:shd w:val="clear" w:color="auto" w:fill="AEAAAA" w:themeFill="background2" w:themeFillShade="BF"/>
                </w:tcPr>
                <w:p w14:paraId="658805B4" w14:textId="77777777" w:rsidR="00047105" w:rsidRDefault="00047105" w:rsidP="00047105">
                  <w:pPr>
                    <w:jc w:val="center"/>
                    <w:rPr>
                      <w:rFonts w:ascii="Arial" w:hAnsi="Arial" w:cs="Arial"/>
                      <w:sz w:val="20"/>
                      <w:szCs w:val="20"/>
                    </w:rPr>
                  </w:pPr>
                  <w:r>
                    <w:rPr>
                      <w:rFonts w:ascii="Arial" w:hAnsi="Arial" w:cs="Arial"/>
                      <w:sz w:val="20"/>
                      <w:szCs w:val="20"/>
                    </w:rPr>
                    <w:t>1</w:t>
                  </w:r>
                </w:p>
              </w:tc>
            </w:tr>
            <w:bookmarkEnd w:id="2"/>
            <w:bookmarkEnd w:id="4"/>
            <w:tr w:rsidR="00047105" w:rsidRPr="00B3531A" w14:paraId="0DDC8D01" w14:textId="77777777" w:rsidTr="00161F5D">
              <w:tc>
                <w:tcPr>
                  <w:tcW w:w="6805" w:type="dxa"/>
                  <w:gridSpan w:val="7"/>
                  <w:tcBorders>
                    <w:bottom w:val="single" w:sz="4" w:space="0" w:color="auto"/>
                  </w:tcBorders>
                </w:tcPr>
                <w:p w14:paraId="41EBCB21" w14:textId="77777777" w:rsidR="00047105" w:rsidRDefault="00047105" w:rsidP="00047105">
                  <w:pPr>
                    <w:rPr>
                      <w:rFonts w:ascii="Arial" w:hAnsi="Arial" w:cs="Arial"/>
                      <w:sz w:val="20"/>
                      <w:szCs w:val="20"/>
                    </w:rPr>
                  </w:pPr>
                  <w:r w:rsidRPr="00C05F22">
                    <w:rPr>
                      <w:rFonts w:ascii="Arial" w:hAnsi="Arial" w:cs="Arial"/>
                      <w:sz w:val="20"/>
                      <w:szCs w:val="20"/>
                    </w:rPr>
                    <w:t>Candidates entering in 2016</w:t>
                  </w:r>
                </w:p>
              </w:tc>
            </w:tr>
            <w:tr w:rsidR="00047105" w:rsidRPr="00B3531A" w14:paraId="6D1AFBE3" w14:textId="77777777" w:rsidTr="00161F5D">
              <w:tc>
                <w:tcPr>
                  <w:tcW w:w="1159" w:type="dxa"/>
                  <w:tcBorders>
                    <w:bottom w:val="nil"/>
                    <w:right w:val="nil"/>
                  </w:tcBorders>
                </w:tcPr>
                <w:p w14:paraId="611A14EF" w14:textId="77777777" w:rsidR="00047105" w:rsidRDefault="00047105" w:rsidP="00047105">
                  <w:pPr>
                    <w:jc w:val="center"/>
                    <w:rPr>
                      <w:rFonts w:ascii="Arial" w:hAnsi="Arial" w:cs="Arial"/>
                      <w:sz w:val="20"/>
                      <w:szCs w:val="20"/>
                    </w:rPr>
                  </w:pPr>
                  <w:r>
                    <w:rPr>
                      <w:rFonts w:ascii="Arial" w:hAnsi="Arial" w:cs="Arial"/>
                      <w:sz w:val="20"/>
                      <w:szCs w:val="20"/>
                    </w:rPr>
                    <w:t>A</w:t>
                  </w:r>
                </w:p>
              </w:tc>
              <w:tc>
                <w:tcPr>
                  <w:tcW w:w="1956" w:type="dxa"/>
                  <w:tcBorders>
                    <w:left w:val="nil"/>
                    <w:bottom w:val="nil"/>
                    <w:right w:val="single" w:sz="4" w:space="0" w:color="auto"/>
                  </w:tcBorders>
                </w:tcPr>
                <w:p w14:paraId="40A21028"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left w:val="single" w:sz="4" w:space="0" w:color="auto"/>
                    <w:bottom w:val="nil"/>
                    <w:right w:val="nil"/>
                  </w:tcBorders>
                  <w:shd w:val="clear" w:color="auto" w:fill="A6A6A6" w:themeFill="background1" w:themeFillShade="A6"/>
                </w:tcPr>
                <w:p w14:paraId="2452A79F"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left w:val="nil"/>
                    <w:bottom w:val="nil"/>
                    <w:right w:val="nil"/>
                  </w:tcBorders>
                  <w:shd w:val="diagCross" w:color="FBE4D5" w:themeColor="accent2" w:themeTint="33" w:fill="FFFFFF" w:themeFill="background1"/>
                </w:tcPr>
                <w:p w14:paraId="11F5577B"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left w:val="nil"/>
                    <w:bottom w:val="nil"/>
                    <w:right w:val="nil"/>
                  </w:tcBorders>
                  <w:shd w:val="diagCross" w:color="FBE4D5" w:themeColor="accent2" w:themeTint="33" w:fill="auto"/>
                </w:tcPr>
                <w:p w14:paraId="0C29BF8F"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630" w:type="dxa"/>
                  <w:tcBorders>
                    <w:left w:val="nil"/>
                    <w:bottom w:val="nil"/>
                    <w:right w:val="nil"/>
                  </w:tcBorders>
                  <w:shd w:val="diagCross" w:color="FBE4D5" w:themeColor="accent2" w:themeTint="33" w:fill="auto"/>
                </w:tcPr>
                <w:p w14:paraId="38A69B6E"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left w:val="nil"/>
                    <w:bottom w:val="nil"/>
                  </w:tcBorders>
                  <w:shd w:val="diagCross" w:color="FBE4D5" w:themeColor="accent2" w:themeTint="33" w:fill="auto"/>
                </w:tcPr>
                <w:p w14:paraId="6AA59390" w14:textId="77777777" w:rsidR="00047105"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32038F96" w14:textId="77777777" w:rsidTr="00161F5D">
              <w:tc>
                <w:tcPr>
                  <w:tcW w:w="1159" w:type="dxa"/>
                  <w:tcBorders>
                    <w:top w:val="nil"/>
                    <w:bottom w:val="nil"/>
                    <w:right w:val="nil"/>
                  </w:tcBorders>
                </w:tcPr>
                <w:p w14:paraId="3F3E27FB" w14:textId="77777777" w:rsidR="00047105" w:rsidRDefault="00047105" w:rsidP="00047105">
                  <w:pPr>
                    <w:jc w:val="center"/>
                    <w:rPr>
                      <w:rFonts w:ascii="Arial" w:hAnsi="Arial" w:cs="Arial"/>
                      <w:sz w:val="20"/>
                      <w:szCs w:val="20"/>
                    </w:rPr>
                  </w:pPr>
                  <w:r>
                    <w:rPr>
                      <w:rFonts w:ascii="Arial" w:hAnsi="Arial" w:cs="Arial"/>
                      <w:sz w:val="20"/>
                      <w:szCs w:val="20"/>
                    </w:rPr>
                    <w:t>B</w:t>
                  </w:r>
                </w:p>
              </w:tc>
              <w:tc>
                <w:tcPr>
                  <w:tcW w:w="1956" w:type="dxa"/>
                  <w:tcBorders>
                    <w:top w:val="nil"/>
                    <w:left w:val="nil"/>
                    <w:bottom w:val="nil"/>
                    <w:right w:val="single" w:sz="4" w:space="0" w:color="auto"/>
                  </w:tcBorders>
                </w:tcPr>
                <w:p w14:paraId="4E908D0B" w14:textId="77777777" w:rsidR="00047105" w:rsidRDefault="00047105" w:rsidP="00047105">
                  <w:pPr>
                    <w:jc w:val="center"/>
                    <w:rPr>
                      <w:rFonts w:ascii="Arial" w:hAnsi="Arial" w:cs="Arial"/>
                      <w:sz w:val="20"/>
                      <w:szCs w:val="20"/>
                    </w:rPr>
                  </w:pPr>
                  <w:r>
                    <w:rPr>
                      <w:rFonts w:ascii="Arial" w:hAnsi="Arial" w:cs="Arial"/>
                      <w:sz w:val="20"/>
                      <w:szCs w:val="20"/>
                    </w:rPr>
                    <w:t xml:space="preserve">  6</w:t>
                  </w:r>
                </w:p>
              </w:tc>
              <w:tc>
                <w:tcPr>
                  <w:tcW w:w="720" w:type="dxa"/>
                  <w:tcBorders>
                    <w:top w:val="nil"/>
                    <w:left w:val="single" w:sz="4" w:space="0" w:color="auto"/>
                    <w:bottom w:val="nil"/>
                    <w:right w:val="nil"/>
                  </w:tcBorders>
                  <w:shd w:val="reverseDiagStripe" w:color="E2EFD9" w:themeColor="accent6" w:themeTint="33" w:fill="FFFFFF" w:themeFill="background1"/>
                </w:tcPr>
                <w:p w14:paraId="1A7FB611"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720" w:type="dxa"/>
                  <w:tcBorders>
                    <w:top w:val="nil"/>
                    <w:left w:val="nil"/>
                    <w:bottom w:val="nil"/>
                    <w:right w:val="nil"/>
                  </w:tcBorders>
                  <w:shd w:val="clear" w:color="auto" w:fill="A6A6A6" w:themeFill="background1" w:themeFillShade="A6"/>
                </w:tcPr>
                <w:p w14:paraId="30786033" w14:textId="77777777" w:rsidR="00047105" w:rsidRDefault="00047105" w:rsidP="00047105">
                  <w:pPr>
                    <w:jc w:val="center"/>
                    <w:rPr>
                      <w:rFonts w:ascii="Arial" w:hAnsi="Arial" w:cs="Arial"/>
                      <w:sz w:val="20"/>
                      <w:szCs w:val="20"/>
                    </w:rPr>
                  </w:pPr>
                  <w:r>
                    <w:rPr>
                      <w:rFonts w:ascii="Arial" w:hAnsi="Arial" w:cs="Arial"/>
                      <w:sz w:val="20"/>
                      <w:szCs w:val="20"/>
                    </w:rPr>
                    <w:t xml:space="preserve">  5</w:t>
                  </w:r>
                </w:p>
              </w:tc>
              <w:tc>
                <w:tcPr>
                  <w:tcW w:w="810" w:type="dxa"/>
                  <w:tcBorders>
                    <w:top w:val="nil"/>
                    <w:left w:val="nil"/>
                    <w:bottom w:val="nil"/>
                    <w:right w:val="nil"/>
                  </w:tcBorders>
                  <w:shd w:val="diagCross" w:color="FBE4D5" w:themeColor="accent2" w:themeTint="33" w:fill="auto"/>
                </w:tcPr>
                <w:p w14:paraId="150F5CF2"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630" w:type="dxa"/>
                  <w:tcBorders>
                    <w:top w:val="nil"/>
                    <w:left w:val="nil"/>
                    <w:bottom w:val="nil"/>
                    <w:right w:val="nil"/>
                  </w:tcBorders>
                  <w:shd w:val="diagCross" w:color="FBE4D5" w:themeColor="accent2" w:themeTint="33" w:fill="auto"/>
                </w:tcPr>
                <w:p w14:paraId="096D7048"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nil"/>
                  </w:tcBorders>
                  <w:shd w:val="diagCross" w:color="FBE4D5" w:themeColor="accent2" w:themeTint="33" w:fill="auto"/>
                </w:tcPr>
                <w:p w14:paraId="46792EC1" w14:textId="77777777" w:rsidR="00047105"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12702E3C" w14:textId="77777777" w:rsidTr="00161F5D">
              <w:tc>
                <w:tcPr>
                  <w:tcW w:w="1159" w:type="dxa"/>
                  <w:tcBorders>
                    <w:top w:val="nil"/>
                    <w:bottom w:val="nil"/>
                    <w:right w:val="nil"/>
                  </w:tcBorders>
                </w:tcPr>
                <w:p w14:paraId="4DA82F6E" w14:textId="77777777" w:rsidR="00047105" w:rsidRDefault="00047105" w:rsidP="00047105">
                  <w:pPr>
                    <w:jc w:val="center"/>
                    <w:rPr>
                      <w:rFonts w:ascii="Arial" w:hAnsi="Arial" w:cs="Arial"/>
                      <w:sz w:val="20"/>
                      <w:szCs w:val="20"/>
                    </w:rPr>
                  </w:pPr>
                  <w:r>
                    <w:rPr>
                      <w:rFonts w:ascii="Arial" w:hAnsi="Arial" w:cs="Arial"/>
                      <w:sz w:val="20"/>
                      <w:szCs w:val="20"/>
                    </w:rPr>
                    <w:t>C</w:t>
                  </w:r>
                </w:p>
              </w:tc>
              <w:tc>
                <w:tcPr>
                  <w:tcW w:w="1956" w:type="dxa"/>
                  <w:tcBorders>
                    <w:top w:val="nil"/>
                    <w:left w:val="nil"/>
                    <w:bottom w:val="nil"/>
                    <w:right w:val="single" w:sz="4" w:space="0" w:color="auto"/>
                  </w:tcBorders>
                </w:tcPr>
                <w:p w14:paraId="483062CE" w14:textId="77777777" w:rsidR="00047105" w:rsidRDefault="00047105" w:rsidP="00047105">
                  <w:pPr>
                    <w:jc w:val="center"/>
                    <w:rPr>
                      <w:rFonts w:ascii="Arial" w:hAnsi="Arial" w:cs="Arial"/>
                      <w:sz w:val="20"/>
                      <w:szCs w:val="20"/>
                    </w:rPr>
                  </w:pPr>
                  <w:r>
                    <w:rPr>
                      <w:rFonts w:ascii="Arial" w:hAnsi="Arial" w:cs="Arial"/>
                      <w:sz w:val="20"/>
                      <w:szCs w:val="20"/>
                    </w:rPr>
                    <w:t xml:space="preserve">  3</w:t>
                  </w:r>
                </w:p>
              </w:tc>
              <w:tc>
                <w:tcPr>
                  <w:tcW w:w="720" w:type="dxa"/>
                  <w:tcBorders>
                    <w:top w:val="nil"/>
                    <w:left w:val="single" w:sz="4" w:space="0" w:color="auto"/>
                    <w:bottom w:val="nil"/>
                    <w:right w:val="nil"/>
                  </w:tcBorders>
                  <w:shd w:val="reverseDiagStripe" w:color="E2EFD9" w:themeColor="accent6" w:themeTint="33" w:fill="FFFFFF" w:themeFill="background1"/>
                </w:tcPr>
                <w:p w14:paraId="034B5C7F"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bottom w:val="nil"/>
                    <w:right w:val="nil"/>
                  </w:tcBorders>
                  <w:shd w:val="reverseDiagStripe" w:color="E2EFD9" w:themeColor="accent6" w:themeTint="33" w:fill="FFFFFF" w:themeFill="background1"/>
                </w:tcPr>
                <w:p w14:paraId="7D281793"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810" w:type="dxa"/>
                  <w:tcBorders>
                    <w:top w:val="nil"/>
                    <w:left w:val="nil"/>
                    <w:bottom w:val="nil"/>
                    <w:right w:val="nil"/>
                  </w:tcBorders>
                  <w:shd w:val="clear" w:color="auto" w:fill="A6A6A6" w:themeFill="background1" w:themeFillShade="A6"/>
                </w:tcPr>
                <w:p w14:paraId="061D5F64"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630" w:type="dxa"/>
                  <w:tcBorders>
                    <w:top w:val="nil"/>
                    <w:left w:val="nil"/>
                    <w:bottom w:val="single" w:sz="4" w:space="0" w:color="auto"/>
                    <w:right w:val="nil"/>
                  </w:tcBorders>
                  <w:shd w:val="diagCross" w:color="FBE4D5" w:themeColor="accent2" w:themeTint="33" w:fill="auto"/>
                </w:tcPr>
                <w:p w14:paraId="2FE1229F"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nil"/>
                  </w:tcBorders>
                  <w:shd w:val="diagCross" w:color="FBE4D5" w:themeColor="accent2" w:themeTint="33" w:fill="auto"/>
                </w:tcPr>
                <w:p w14:paraId="6AF9F671" w14:textId="77777777" w:rsidR="00047105"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67473EEC" w14:textId="77777777" w:rsidTr="00161F5D">
              <w:tc>
                <w:tcPr>
                  <w:tcW w:w="1159" w:type="dxa"/>
                  <w:tcBorders>
                    <w:top w:val="nil"/>
                    <w:right w:val="nil"/>
                  </w:tcBorders>
                </w:tcPr>
                <w:p w14:paraId="74AA7DE6" w14:textId="77777777" w:rsidR="00047105" w:rsidRDefault="00047105" w:rsidP="00047105">
                  <w:pPr>
                    <w:jc w:val="center"/>
                    <w:rPr>
                      <w:rFonts w:ascii="Arial" w:hAnsi="Arial" w:cs="Arial"/>
                      <w:sz w:val="20"/>
                      <w:szCs w:val="20"/>
                    </w:rPr>
                  </w:pPr>
                  <w:r>
                    <w:rPr>
                      <w:rFonts w:ascii="Arial" w:hAnsi="Arial" w:cs="Arial"/>
                      <w:sz w:val="20"/>
                      <w:szCs w:val="20"/>
                    </w:rPr>
                    <w:t>D</w:t>
                  </w:r>
                </w:p>
              </w:tc>
              <w:tc>
                <w:tcPr>
                  <w:tcW w:w="1956" w:type="dxa"/>
                  <w:tcBorders>
                    <w:top w:val="nil"/>
                    <w:left w:val="nil"/>
                    <w:right w:val="single" w:sz="4" w:space="0" w:color="auto"/>
                  </w:tcBorders>
                </w:tcPr>
                <w:p w14:paraId="4BACD30B" w14:textId="77777777" w:rsidR="00047105" w:rsidRDefault="00047105" w:rsidP="00047105">
                  <w:pPr>
                    <w:jc w:val="center"/>
                    <w:rPr>
                      <w:rFonts w:ascii="Arial" w:hAnsi="Arial" w:cs="Arial"/>
                      <w:sz w:val="20"/>
                      <w:szCs w:val="20"/>
                    </w:rPr>
                  </w:pPr>
                  <w:r>
                    <w:rPr>
                      <w:rFonts w:ascii="Arial" w:hAnsi="Arial" w:cs="Arial"/>
                      <w:sz w:val="20"/>
                      <w:szCs w:val="20"/>
                    </w:rPr>
                    <w:t xml:space="preserve">  3</w:t>
                  </w:r>
                </w:p>
              </w:tc>
              <w:tc>
                <w:tcPr>
                  <w:tcW w:w="720" w:type="dxa"/>
                  <w:tcBorders>
                    <w:top w:val="nil"/>
                    <w:left w:val="single" w:sz="4" w:space="0" w:color="auto"/>
                    <w:right w:val="nil"/>
                  </w:tcBorders>
                  <w:shd w:val="reverseDiagStripe" w:color="E2EFD9" w:themeColor="accent6" w:themeTint="33" w:fill="FFFFFF" w:themeFill="background1"/>
                </w:tcPr>
                <w:p w14:paraId="40293BD1"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right w:val="nil"/>
                  </w:tcBorders>
                  <w:shd w:val="reverseDiagStripe" w:color="E2EFD9" w:themeColor="accent6" w:themeTint="33" w:fill="FFFFFF" w:themeFill="background1"/>
                </w:tcPr>
                <w:p w14:paraId="08E88D35"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810" w:type="dxa"/>
                  <w:tcBorders>
                    <w:top w:val="nil"/>
                    <w:left w:val="nil"/>
                    <w:right w:val="single" w:sz="4" w:space="0" w:color="auto"/>
                  </w:tcBorders>
                  <w:shd w:val="reverseDiagStripe" w:color="E2EFD9" w:themeColor="accent6" w:themeTint="33" w:fill="auto"/>
                </w:tcPr>
                <w:p w14:paraId="5C7DDA48"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630" w:type="dxa"/>
                  <w:tcBorders>
                    <w:top w:val="single" w:sz="4" w:space="0" w:color="auto"/>
                    <w:left w:val="single" w:sz="4" w:space="0" w:color="auto"/>
                    <w:right w:val="nil"/>
                  </w:tcBorders>
                  <w:shd w:val="clear" w:color="auto" w:fill="AEAAAA" w:themeFill="background2" w:themeFillShade="BF"/>
                </w:tcPr>
                <w:p w14:paraId="632BE68D"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810" w:type="dxa"/>
                  <w:tcBorders>
                    <w:top w:val="nil"/>
                    <w:left w:val="nil"/>
                  </w:tcBorders>
                  <w:shd w:val="diagCross" w:color="FBE4D5" w:themeColor="accent2" w:themeTint="33" w:fill="auto"/>
                </w:tcPr>
                <w:p w14:paraId="2638ACBB" w14:textId="77777777" w:rsidR="00047105"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1A71896F" w14:textId="77777777" w:rsidTr="00161F5D">
              <w:tc>
                <w:tcPr>
                  <w:tcW w:w="6805" w:type="dxa"/>
                  <w:gridSpan w:val="7"/>
                </w:tcPr>
                <w:p w14:paraId="3345DE65" w14:textId="77777777" w:rsidR="00047105" w:rsidRDefault="00047105" w:rsidP="00047105">
                  <w:pPr>
                    <w:rPr>
                      <w:rFonts w:ascii="Arial" w:hAnsi="Arial" w:cs="Arial"/>
                      <w:sz w:val="20"/>
                      <w:szCs w:val="20"/>
                    </w:rPr>
                  </w:pPr>
                  <w:r>
                    <w:rPr>
                      <w:rFonts w:ascii="Arial" w:hAnsi="Arial" w:cs="Arial"/>
                      <w:sz w:val="20"/>
                      <w:szCs w:val="20"/>
                    </w:rPr>
                    <w:t xml:space="preserve">Candidates entering in 2017 </w:t>
                  </w:r>
                </w:p>
              </w:tc>
            </w:tr>
            <w:tr w:rsidR="00047105" w:rsidRPr="00B3531A" w14:paraId="085C05B0" w14:textId="77777777" w:rsidTr="00161F5D">
              <w:tc>
                <w:tcPr>
                  <w:tcW w:w="1159" w:type="dxa"/>
                  <w:tcBorders>
                    <w:bottom w:val="nil"/>
                    <w:right w:val="nil"/>
                  </w:tcBorders>
                </w:tcPr>
                <w:p w14:paraId="10B21868" w14:textId="77777777" w:rsidR="00047105" w:rsidRDefault="00047105" w:rsidP="00047105">
                  <w:pPr>
                    <w:jc w:val="center"/>
                    <w:rPr>
                      <w:rFonts w:ascii="Arial" w:hAnsi="Arial" w:cs="Arial"/>
                      <w:sz w:val="20"/>
                      <w:szCs w:val="20"/>
                    </w:rPr>
                  </w:pPr>
                  <w:r>
                    <w:rPr>
                      <w:rFonts w:ascii="Arial" w:hAnsi="Arial" w:cs="Arial"/>
                      <w:sz w:val="20"/>
                      <w:szCs w:val="20"/>
                    </w:rPr>
                    <w:t>A</w:t>
                  </w:r>
                </w:p>
              </w:tc>
              <w:tc>
                <w:tcPr>
                  <w:tcW w:w="1956" w:type="dxa"/>
                  <w:tcBorders>
                    <w:left w:val="nil"/>
                    <w:bottom w:val="nil"/>
                    <w:right w:val="single" w:sz="4" w:space="0" w:color="auto"/>
                  </w:tcBorders>
                </w:tcPr>
                <w:p w14:paraId="1B5F0049"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720" w:type="dxa"/>
                  <w:tcBorders>
                    <w:left w:val="single" w:sz="4" w:space="0" w:color="auto"/>
                    <w:bottom w:val="nil"/>
                    <w:right w:val="nil"/>
                  </w:tcBorders>
                  <w:shd w:val="clear" w:color="auto" w:fill="AEAAAA" w:themeFill="background2" w:themeFillShade="BF"/>
                </w:tcPr>
                <w:p w14:paraId="269AB455"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720" w:type="dxa"/>
                  <w:tcBorders>
                    <w:left w:val="nil"/>
                    <w:bottom w:val="nil"/>
                    <w:right w:val="nil"/>
                  </w:tcBorders>
                  <w:shd w:val="diagCross" w:color="FBE4D5" w:themeColor="accent2" w:themeTint="33" w:fill="auto"/>
                </w:tcPr>
                <w:p w14:paraId="1804E31E" w14:textId="77777777" w:rsidR="00047105" w:rsidRDefault="00047105" w:rsidP="00047105">
                  <w:pPr>
                    <w:jc w:val="center"/>
                    <w:rPr>
                      <w:rFonts w:ascii="Arial" w:hAnsi="Arial" w:cs="Arial"/>
                      <w:sz w:val="20"/>
                      <w:szCs w:val="20"/>
                    </w:rPr>
                  </w:pPr>
                  <w:r>
                    <w:rPr>
                      <w:rFonts w:ascii="Arial" w:hAnsi="Arial" w:cs="Arial"/>
                      <w:sz w:val="20"/>
                      <w:szCs w:val="20"/>
                    </w:rPr>
                    <w:t xml:space="preserve">  </w:t>
                  </w:r>
                  <w:r w:rsidRPr="008037D4">
                    <w:rPr>
                      <w:rFonts w:ascii="Arial" w:hAnsi="Arial" w:cs="Arial"/>
                      <w:sz w:val="20"/>
                      <w:szCs w:val="20"/>
                    </w:rPr>
                    <w:t>0</w:t>
                  </w:r>
                </w:p>
              </w:tc>
              <w:tc>
                <w:tcPr>
                  <w:tcW w:w="810" w:type="dxa"/>
                  <w:tcBorders>
                    <w:left w:val="nil"/>
                    <w:bottom w:val="nil"/>
                    <w:right w:val="nil"/>
                  </w:tcBorders>
                  <w:shd w:val="diagCross" w:color="FBE4D5" w:themeColor="accent2" w:themeTint="33" w:fill="auto"/>
                </w:tcPr>
                <w:p w14:paraId="0E89BF42" w14:textId="77777777" w:rsidR="00047105" w:rsidRDefault="00047105" w:rsidP="00047105">
                  <w:pPr>
                    <w:jc w:val="center"/>
                    <w:rPr>
                      <w:rFonts w:ascii="Arial" w:hAnsi="Arial" w:cs="Arial"/>
                      <w:sz w:val="20"/>
                      <w:szCs w:val="20"/>
                    </w:rPr>
                  </w:pPr>
                  <w:r>
                    <w:rPr>
                      <w:rFonts w:ascii="Arial" w:hAnsi="Arial" w:cs="Arial"/>
                      <w:sz w:val="20"/>
                      <w:szCs w:val="20"/>
                    </w:rPr>
                    <w:t xml:space="preserve">  </w:t>
                  </w:r>
                  <w:r w:rsidRPr="008037D4">
                    <w:rPr>
                      <w:rFonts w:ascii="Arial" w:hAnsi="Arial" w:cs="Arial"/>
                      <w:sz w:val="20"/>
                      <w:szCs w:val="20"/>
                    </w:rPr>
                    <w:t>0</w:t>
                  </w:r>
                </w:p>
              </w:tc>
              <w:tc>
                <w:tcPr>
                  <w:tcW w:w="630" w:type="dxa"/>
                  <w:tcBorders>
                    <w:left w:val="nil"/>
                    <w:bottom w:val="nil"/>
                    <w:right w:val="nil"/>
                  </w:tcBorders>
                  <w:shd w:val="diagCross" w:color="FBE4D5" w:themeColor="accent2" w:themeTint="33" w:fill="auto"/>
                </w:tcPr>
                <w:p w14:paraId="557AF3C8" w14:textId="77777777" w:rsidR="00047105" w:rsidRDefault="00047105" w:rsidP="00047105">
                  <w:pPr>
                    <w:jc w:val="center"/>
                    <w:rPr>
                      <w:rFonts w:ascii="Arial" w:hAnsi="Arial" w:cs="Arial"/>
                      <w:sz w:val="20"/>
                      <w:szCs w:val="20"/>
                    </w:rPr>
                  </w:pPr>
                  <w:r>
                    <w:rPr>
                      <w:rFonts w:ascii="Arial" w:hAnsi="Arial" w:cs="Arial"/>
                      <w:sz w:val="20"/>
                      <w:szCs w:val="20"/>
                    </w:rPr>
                    <w:t xml:space="preserve">  </w:t>
                  </w:r>
                  <w:r w:rsidRPr="008037D4">
                    <w:rPr>
                      <w:rFonts w:ascii="Arial" w:hAnsi="Arial" w:cs="Arial"/>
                      <w:sz w:val="20"/>
                      <w:szCs w:val="20"/>
                    </w:rPr>
                    <w:t>0</w:t>
                  </w:r>
                </w:p>
              </w:tc>
              <w:tc>
                <w:tcPr>
                  <w:tcW w:w="810" w:type="dxa"/>
                  <w:tcBorders>
                    <w:left w:val="nil"/>
                    <w:bottom w:val="nil"/>
                  </w:tcBorders>
                  <w:shd w:val="diagCross" w:color="FBE4D5" w:themeColor="accent2" w:themeTint="33" w:fill="auto"/>
                </w:tcPr>
                <w:p w14:paraId="68E73152" w14:textId="77777777" w:rsidR="00047105"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2E77063D" w14:textId="77777777" w:rsidTr="00161F5D">
              <w:tc>
                <w:tcPr>
                  <w:tcW w:w="1159" w:type="dxa"/>
                  <w:tcBorders>
                    <w:top w:val="nil"/>
                    <w:bottom w:val="nil"/>
                    <w:right w:val="nil"/>
                  </w:tcBorders>
                </w:tcPr>
                <w:p w14:paraId="4D52DDD2" w14:textId="77777777" w:rsidR="00047105" w:rsidRDefault="00047105" w:rsidP="00047105">
                  <w:pPr>
                    <w:jc w:val="center"/>
                    <w:rPr>
                      <w:rFonts w:ascii="Arial" w:hAnsi="Arial" w:cs="Arial"/>
                      <w:sz w:val="20"/>
                      <w:szCs w:val="20"/>
                    </w:rPr>
                  </w:pPr>
                  <w:r>
                    <w:rPr>
                      <w:rFonts w:ascii="Arial" w:hAnsi="Arial" w:cs="Arial"/>
                      <w:sz w:val="20"/>
                      <w:szCs w:val="20"/>
                    </w:rPr>
                    <w:t>B</w:t>
                  </w:r>
                </w:p>
              </w:tc>
              <w:tc>
                <w:tcPr>
                  <w:tcW w:w="1956" w:type="dxa"/>
                  <w:tcBorders>
                    <w:top w:val="nil"/>
                    <w:left w:val="nil"/>
                    <w:bottom w:val="nil"/>
                    <w:right w:val="single" w:sz="4" w:space="0" w:color="auto"/>
                  </w:tcBorders>
                </w:tcPr>
                <w:p w14:paraId="7F14938F" w14:textId="77777777" w:rsidR="00047105" w:rsidRDefault="00047105" w:rsidP="00047105">
                  <w:pPr>
                    <w:jc w:val="center"/>
                    <w:rPr>
                      <w:rFonts w:ascii="Arial" w:hAnsi="Arial" w:cs="Arial"/>
                      <w:sz w:val="20"/>
                      <w:szCs w:val="20"/>
                    </w:rPr>
                  </w:pPr>
                  <w:r>
                    <w:rPr>
                      <w:rFonts w:ascii="Arial" w:hAnsi="Arial" w:cs="Arial"/>
                      <w:sz w:val="20"/>
                      <w:szCs w:val="20"/>
                    </w:rPr>
                    <w:t xml:space="preserve">  7</w:t>
                  </w:r>
                </w:p>
              </w:tc>
              <w:tc>
                <w:tcPr>
                  <w:tcW w:w="720" w:type="dxa"/>
                  <w:tcBorders>
                    <w:top w:val="nil"/>
                    <w:left w:val="single" w:sz="4" w:space="0" w:color="auto"/>
                    <w:bottom w:val="nil"/>
                    <w:right w:val="nil"/>
                  </w:tcBorders>
                  <w:shd w:val="reverseDiagStripe" w:color="E2EFD9" w:themeColor="accent6" w:themeTint="33" w:fill="FFFFFF" w:themeFill="background1"/>
                </w:tcPr>
                <w:p w14:paraId="536DBFB9" w14:textId="77777777" w:rsidR="00047105" w:rsidRDefault="00047105" w:rsidP="00047105">
                  <w:pPr>
                    <w:jc w:val="center"/>
                    <w:rPr>
                      <w:rFonts w:ascii="Arial" w:hAnsi="Arial" w:cs="Arial"/>
                      <w:sz w:val="20"/>
                      <w:szCs w:val="20"/>
                    </w:rPr>
                  </w:pPr>
                  <w:r>
                    <w:rPr>
                      <w:rFonts w:ascii="Arial" w:hAnsi="Arial" w:cs="Arial"/>
                      <w:sz w:val="20"/>
                      <w:szCs w:val="20"/>
                    </w:rPr>
                    <w:t xml:space="preserve">  4</w:t>
                  </w:r>
                </w:p>
              </w:tc>
              <w:tc>
                <w:tcPr>
                  <w:tcW w:w="720" w:type="dxa"/>
                  <w:tcBorders>
                    <w:top w:val="nil"/>
                    <w:left w:val="nil"/>
                    <w:bottom w:val="nil"/>
                    <w:right w:val="nil"/>
                  </w:tcBorders>
                  <w:shd w:val="clear" w:color="auto" w:fill="AEAAAA" w:themeFill="background2" w:themeFillShade="BF"/>
                </w:tcPr>
                <w:p w14:paraId="3460EFE7" w14:textId="77777777" w:rsidR="00047105" w:rsidRDefault="00047105" w:rsidP="00047105">
                  <w:pPr>
                    <w:jc w:val="center"/>
                    <w:rPr>
                      <w:rFonts w:ascii="Arial" w:hAnsi="Arial" w:cs="Arial"/>
                      <w:sz w:val="20"/>
                      <w:szCs w:val="20"/>
                    </w:rPr>
                  </w:pPr>
                  <w:r>
                    <w:rPr>
                      <w:rFonts w:ascii="Arial" w:hAnsi="Arial" w:cs="Arial"/>
                      <w:sz w:val="20"/>
                      <w:szCs w:val="20"/>
                    </w:rPr>
                    <w:t xml:space="preserve">  3</w:t>
                  </w:r>
                </w:p>
              </w:tc>
              <w:tc>
                <w:tcPr>
                  <w:tcW w:w="810" w:type="dxa"/>
                  <w:tcBorders>
                    <w:top w:val="nil"/>
                    <w:left w:val="nil"/>
                    <w:bottom w:val="nil"/>
                    <w:right w:val="nil"/>
                  </w:tcBorders>
                  <w:shd w:val="diagCross" w:color="FBE4D5" w:themeColor="accent2" w:themeTint="33" w:fill="auto"/>
                </w:tcPr>
                <w:p w14:paraId="05E046A4" w14:textId="77777777" w:rsidR="00047105" w:rsidRDefault="00047105" w:rsidP="00047105">
                  <w:pPr>
                    <w:jc w:val="center"/>
                    <w:rPr>
                      <w:rFonts w:ascii="Arial" w:hAnsi="Arial" w:cs="Arial"/>
                      <w:sz w:val="20"/>
                      <w:szCs w:val="20"/>
                    </w:rPr>
                  </w:pPr>
                  <w:r>
                    <w:t xml:space="preserve">  0</w:t>
                  </w:r>
                </w:p>
              </w:tc>
              <w:tc>
                <w:tcPr>
                  <w:tcW w:w="630" w:type="dxa"/>
                  <w:tcBorders>
                    <w:top w:val="nil"/>
                    <w:left w:val="nil"/>
                    <w:bottom w:val="nil"/>
                    <w:right w:val="nil"/>
                  </w:tcBorders>
                  <w:shd w:val="diagCross" w:color="FBE4D5" w:themeColor="accent2" w:themeTint="33" w:fill="auto"/>
                </w:tcPr>
                <w:p w14:paraId="0802AD44" w14:textId="77777777" w:rsidR="00047105" w:rsidRDefault="00047105" w:rsidP="00047105">
                  <w:pPr>
                    <w:jc w:val="center"/>
                    <w:rPr>
                      <w:rFonts w:ascii="Arial" w:hAnsi="Arial" w:cs="Arial"/>
                      <w:sz w:val="20"/>
                      <w:szCs w:val="20"/>
                    </w:rPr>
                  </w:pPr>
                  <w:r>
                    <w:t xml:space="preserve">  </w:t>
                  </w:r>
                  <w:r w:rsidRPr="00946118">
                    <w:t>0</w:t>
                  </w:r>
                </w:p>
              </w:tc>
              <w:tc>
                <w:tcPr>
                  <w:tcW w:w="810" w:type="dxa"/>
                  <w:tcBorders>
                    <w:top w:val="nil"/>
                    <w:left w:val="nil"/>
                    <w:bottom w:val="nil"/>
                    <w:right w:val="single" w:sz="4" w:space="0" w:color="auto"/>
                  </w:tcBorders>
                  <w:shd w:val="diagCross" w:color="FBE4D5" w:themeColor="accent2" w:themeTint="33" w:fill="auto"/>
                </w:tcPr>
                <w:p w14:paraId="69BDB935" w14:textId="77777777" w:rsidR="00047105" w:rsidRDefault="00047105" w:rsidP="00047105">
                  <w:pPr>
                    <w:jc w:val="center"/>
                    <w:rPr>
                      <w:rFonts w:ascii="Arial" w:hAnsi="Arial" w:cs="Arial"/>
                      <w:sz w:val="20"/>
                      <w:szCs w:val="20"/>
                    </w:rPr>
                  </w:pPr>
                  <w:r>
                    <w:t>0</w:t>
                  </w:r>
                </w:p>
              </w:tc>
            </w:tr>
            <w:tr w:rsidR="00047105" w:rsidRPr="00B3531A" w14:paraId="505BFF38" w14:textId="77777777" w:rsidTr="00161F5D">
              <w:tc>
                <w:tcPr>
                  <w:tcW w:w="1159" w:type="dxa"/>
                  <w:tcBorders>
                    <w:top w:val="nil"/>
                    <w:bottom w:val="nil"/>
                    <w:right w:val="nil"/>
                  </w:tcBorders>
                </w:tcPr>
                <w:p w14:paraId="27371FCA" w14:textId="77777777" w:rsidR="00047105" w:rsidRDefault="00047105" w:rsidP="00047105">
                  <w:pPr>
                    <w:jc w:val="center"/>
                    <w:rPr>
                      <w:rFonts w:ascii="Arial" w:hAnsi="Arial" w:cs="Arial"/>
                      <w:sz w:val="20"/>
                      <w:szCs w:val="20"/>
                    </w:rPr>
                  </w:pPr>
                  <w:r>
                    <w:rPr>
                      <w:rFonts w:ascii="Arial" w:hAnsi="Arial" w:cs="Arial"/>
                      <w:sz w:val="20"/>
                      <w:szCs w:val="20"/>
                    </w:rPr>
                    <w:t>C</w:t>
                  </w:r>
                </w:p>
              </w:tc>
              <w:tc>
                <w:tcPr>
                  <w:tcW w:w="1956" w:type="dxa"/>
                  <w:tcBorders>
                    <w:top w:val="nil"/>
                    <w:left w:val="nil"/>
                    <w:bottom w:val="nil"/>
                    <w:right w:val="single" w:sz="4" w:space="0" w:color="auto"/>
                  </w:tcBorders>
                </w:tcPr>
                <w:p w14:paraId="08CB42C1"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720" w:type="dxa"/>
                  <w:tcBorders>
                    <w:top w:val="nil"/>
                    <w:left w:val="single" w:sz="4" w:space="0" w:color="auto"/>
                    <w:bottom w:val="nil"/>
                    <w:right w:val="nil"/>
                  </w:tcBorders>
                  <w:shd w:val="reverseDiagStripe" w:color="E2EFD9" w:themeColor="accent6" w:themeTint="33" w:fill="FFFFFF" w:themeFill="background1"/>
                </w:tcPr>
                <w:p w14:paraId="78CCACB1"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bottom w:val="nil"/>
                    <w:right w:val="nil"/>
                  </w:tcBorders>
                  <w:shd w:val="reverseDiagStripe" w:color="E2EFD9" w:themeColor="accent6" w:themeTint="33" w:fill="FFFFFF" w:themeFill="background1"/>
                </w:tcPr>
                <w:p w14:paraId="5F0A068C"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nil"/>
                    <w:right w:val="nil"/>
                  </w:tcBorders>
                  <w:shd w:val="clear" w:color="auto" w:fill="AEAAAA" w:themeFill="background2" w:themeFillShade="BF"/>
                </w:tcPr>
                <w:p w14:paraId="1EAA19A1"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630" w:type="dxa"/>
                  <w:tcBorders>
                    <w:top w:val="nil"/>
                    <w:left w:val="nil"/>
                    <w:bottom w:val="nil"/>
                    <w:right w:val="nil"/>
                  </w:tcBorders>
                  <w:shd w:val="diagCross" w:color="FBE4D5" w:themeColor="accent2" w:themeTint="33" w:fill="auto"/>
                </w:tcPr>
                <w:p w14:paraId="7EA5F71F" w14:textId="77777777" w:rsidR="00047105" w:rsidRDefault="00047105" w:rsidP="00047105">
                  <w:pPr>
                    <w:jc w:val="center"/>
                    <w:rPr>
                      <w:rFonts w:ascii="Arial" w:hAnsi="Arial" w:cs="Arial"/>
                      <w:sz w:val="20"/>
                      <w:szCs w:val="20"/>
                    </w:rPr>
                  </w:pPr>
                  <w:r>
                    <w:t xml:space="preserve">  </w:t>
                  </w:r>
                  <w:r w:rsidRPr="00946118">
                    <w:t>0</w:t>
                  </w:r>
                </w:p>
              </w:tc>
              <w:tc>
                <w:tcPr>
                  <w:tcW w:w="810" w:type="dxa"/>
                  <w:tcBorders>
                    <w:top w:val="nil"/>
                    <w:left w:val="nil"/>
                    <w:bottom w:val="nil"/>
                    <w:right w:val="single" w:sz="4" w:space="0" w:color="auto"/>
                  </w:tcBorders>
                  <w:shd w:val="diagCross" w:color="FBE4D5" w:themeColor="accent2" w:themeTint="33" w:fill="auto"/>
                </w:tcPr>
                <w:p w14:paraId="400664F6" w14:textId="77777777" w:rsidR="00047105" w:rsidRDefault="00047105" w:rsidP="00047105">
                  <w:pPr>
                    <w:jc w:val="center"/>
                    <w:rPr>
                      <w:rFonts w:ascii="Arial" w:hAnsi="Arial" w:cs="Arial"/>
                      <w:sz w:val="20"/>
                      <w:szCs w:val="20"/>
                    </w:rPr>
                  </w:pPr>
                  <w:r w:rsidRPr="00946118">
                    <w:t>0</w:t>
                  </w:r>
                </w:p>
              </w:tc>
            </w:tr>
            <w:tr w:rsidR="00047105" w:rsidRPr="00B3531A" w14:paraId="00262C17" w14:textId="77777777" w:rsidTr="00161F5D">
              <w:tc>
                <w:tcPr>
                  <w:tcW w:w="1159" w:type="dxa"/>
                  <w:tcBorders>
                    <w:top w:val="nil"/>
                    <w:bottom w:val="single" w:sz="4" w:space="0" w:color="auto"/>
                    <w:right w:val="nil"/>
                  </w:tcBorders>
                </w:tcPr>
                <w:p w14:paraId="745AD69D" w14:textId="77777777" w:rsidR="00047105" w:rsidRDefault="00047105" w:rsidP="00047105">
                  <w:pPr>
                    <w:jc w:val="center"/>
                    <w:rPr>
                      <w:rFonts w:ascii="Arial" w:hAnsi="Arial" w:cs="Arial"/>
                      <w:sz w:val="20"/>
                      <w:szCs w:val="20"/>
                    </w:rPr>
                  </w:pPr>
                  <w:r>
                    <w:rPr>
                      <w:rFonts w:ascii="Arial" w:hAnsi="Arial" w:cs="Arial"/>
                      <w:sz w:val="20"/>
                      <w:szCs w:val="20"/>
                    </w:rPr>
                    <w:t>D</w:t>
                  </w:r>
                </w:p>
              </w:tc>
              <w:tc>
                <w:tcPr>
                  <w:tcW w:w="1956" w:type="dxa"/>
                  <w:tcBorders>
                    <w:top w:val="nil"/>
                    <w:left w:val="nil"/>
                    <w:bottom w:val="single" w:sz="4" w:space="0" w:color="auto"/>
                    <w:right w:val="single" w:sz="4" w:space="0" w:color="auto"/>
                  </w:tcBorders>
                </w:tcPr>
                <w:p w14:paraId="5BE84BFB" w14:textId="77777777" w:rsidR="00047105" w:rsidRDefault="00047105" w:rsidP="00047105">
                  <w:pPr>
                    <w:jc w:val="center"/>
                    <w:rPr>
                      <w:rFonts w:ascii="Arial" w:hAnsi="Arial" w:cs="Arial"/>
                      <w:sz w:val="20"/>
                      <w:szCs w:val="20"/>
                    </w:rPr>
                  </w:pPr>
                  <w:r>
                    <w:rPr>
                      <w:rFonts w:ascii="Arial" w:hAnsi="Arial" w:cs="Arial"/>
                      <w:sz w:val="20"/>
                      <w:szCs w:val="20"/>
                    </w:rPr>
                    <w:t xml:space="preserve">  4</w:t>
                  </w:r>
                </w:p>
              </w:tc>
              <w:tc>
                <w:tcPr>
                  <w:tcW w:w="720" w:type="dxa"/>
                  <w:tcBorders>
                    <w:top w:val="nil"/>
                    <w:left w:val="single" w:sz="4" w:space="0" w:color="auto"/>
                    <w:bottom w:val="single" w:sz="4" w:space="0" w:color="auto"/>
                    <w:right w:val="nil"/>
                  </w:tcBorders>
                  <w:shd w:val="reverseDiagStripe" w:color="E2EFD9" w:themeColor="accent6" w:themeTint="33" w:fill="FFFFFF" w:themeFill="background1"/>
                </w:tcPr>
                <w:p w14:paraId="79B7BB44"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bottom w:val="single" w:sz="4" w:space="0" w:color="auto"/>
                    <w:right w:val="nil"/>
                  </w:tcBorders>
                  <w:shd w:val="reverseDiagStripe" w:color="E2EFD9" w:themeColor="accent6" w:themeTint="33" w:fill="FFFFFF" w:themeFill="background1"/>
                </w:tcPr>
                <w:p w14:paraId="18980CCD"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single" w:sz="4" w:space="0" w:color="auto"/>
                    <w:right w:val="nil"/>
                  </w:tcBorders>
                  <w:shd w:val="reverseDiagStripe" w:color="E2EFD9" w:themeColor="accent6" w:themeTint="33" w:fill="auto"/>
                </w:tcPr>
                <w:p w14:paraId="1C2FD9EF"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630" w:type="dxa"/>
                  <w:tcBorders>
                    <w:top w:val="nil"/>
                    <w:left w:val="nil"/>
                    <w:bottom w:val="single" w:sz="4" w:space="0" w:color="auto"/>
                    <w:right w:val="nil"/>
                  </w:tcBorders>
                  <w:shd w:val="clear" w:color="auto" w:fill="AEAAAA" w:themeFill="background2" w:themeFillShade="BF"/>
                </w:tcPr>
                <w:p w14:paraId="72C867E8" w14:textId="77777777" w:rsidR="00047105" w:rsidRPr="00946118" w:rsidRDefault="00047105" w:rsidP="00047105">
                  <w:pPr>
                    <w:jc w:val="center"/>
                  </w:pPr>
                  <w:r>
                    <w:t xml:space="preserve">  2</w:t>
                  </w:r>
                </w:p>
              </w:tc>
              <w:tc>
                <w:tcPr>
                  <w:tcW w:w="810" w:type="dxa"/>
                  <w:tcBorders>
                    <w:top w:val="nil"/>
                    <w:left w:val="nil"/>
                    <w:bottom w:val="single" w:sz="4" w:space="0" w:color="auto"/>
                    <w:right w:val="single" w:sz="4" w:space="0" w:color="auto"/>
                  </w:tcBorders>
                  <w:shd w:val="diagCross" w:color="FBE4D5" w:themeColor="accent2" w:themeTint="33" w:fill="auto"/>
                </w:tcPr>
                <w:p w14:paraId="0D47376E" w14:textId="77777777" w:rsidR="00047105" w:rsidRPr="00946118" w:rsidRDefault="00047105" w:rsidP="00047105">
                  <w:pPr>
                    <w:jc w:val="center"/>
                  </w:pPr>
                  <w:r>
                    <w:t>0</w:t>
                  </w:r>
                </w:p>
              </w:tc>
            </w:tr>
            <w:tr w:rsidR="00047105" w:rsidRPr="00B3531A" w14:paraId="74BDA868" w14:textId="77777777" w:rsidTr="00161F5D">
              <w:tc>
                <w:tcPr>
                  <w:tcW w:w="6805" w:type="dxa"/>
                  <w:gridSpan w:val="7"/>
                  <w:tcBorders>
                    <w:top w:val="nil"/>
                    <w:bottom w:val="single" w:sz="4" w:space="0" w:color="auto"/>
                    <w:right w:val="single" w:sz="4" w:space="0" w:color="auto"/>
                  </w:tcBorders>
                </w:tcPr>
                <w:p w14:paraId="53761983" w14:textId="77777777" w:rsidR="00047105" w:rsidRPr="00946118" w:rsidRDefault="00047105" w:rsidP="00047105">
                  <w:r>
                    <w:t>Candidates entering in 2018</w:t>
                  </w:r>
                </w:p>
              </w:tc>
            </w:tr>
            <w:tr w:rsidR="00047105" w:rsidRPr="00B3531A" w14:paraId="0967DA9C" w14:textId="77777777" w:rsidTr="00161F5D">
              <w:tc>
                <w:tcPr>
                  <w:tcW w:w="1159" w:type="dxa"/>
                  <w:tcBorders>
                    <w:top w:val="nil"/>
                    <w:bottom w:val="nil"/>
                    <w:right w:val="nil"/>
                  </w:tcBorders>
                </w:tcPr>
                <w:p w14:paraId="2AF282A3" w14:textId="77777777" w:rsidR="00047105" w:rsidRDefault="00047105" w:rsidP="00047105">
                  <w:pPr>
                    <w:jc w:val="center"/>
                    <w:rPr>
                      <w:rFonts w:ascii="Arial" w:hAnsi="Arial" w:cs="Arial"/>
                      <w:sz w:val="20"/>
                      <w:szCs w:val="20"/>
                    </w:rPr>
                  </w:pPr>
                  <w:bookmarkStart w:id="5" w:name="_Hlk80967807"/>
                  <w:r>
                    <w:rPr>
                      <w:rFonts w:ascii="Arial" w:hAnsi="Arial" w:cs="Arial"/>
                      <w:sz w:val="20"/>
                      <w:szCs w:val="20"/>
                    </w:rPr>
                    <w:t>A</w:t>
                  </w:r>
                </w:p>
              </w:tc>
              <w:tc>
                <w:tcPr>
                  <w:tcW w:w="1956" w:type="dxa"/>
                  <w:tcBorders>
                    <w:top w:val="nil"/>
                    <w:left w:val="nil"/>
                    <w:bottom w:val="nil"/>
                    <w:right w:val="single" w:sz="4" w:space="0" w:color="auto"/>
                  </w:tcBorders>
                </w:tcPr>
                <w:p w14:paraId="348A6D93" w14:textId="77777777" w:rsidR="00047105" w:rsidRDefault="00047105" w:rsidP="00047105">
                  <w:pPr>
                    <w:jc w:val="center"/>
                    <w:rPr>
                      <w:rFonts w:ascii="Arial" w:hAnsi="Arial" w:cs="Arial"/>
                      <w:sz w:val="20"/>
                      <w:szCs w:val="20"/>
                    </w:rPr>
                  </w:pPr>
                  <w:r>
                    <w:rPr>
                      <w:rFonts w:ascii="Arial" w:hAnsi="Arial" w:cs="Arial"/>
                      <w:sz w:val="20"/>
                      <w:szCs w:val="20"/>
                    </w:rPr>
                    <w:t xml:space="preserve">   3</w:t>
                  </w:r>
                </w:p>
              </w:tc>
              <w:tc>
                <w:tcPr>
                  <w:tcW w:w="720" w:type="dxa"/>
                  <w:tcBorders>
                    <w:top w:val="single" w:sz="4" w:space="0" w:color="auto"/>
                    <w:left w:val="single" w:sz="4" w:space="0" w:color="auto"/>
                    <w:bottom w:val="nil"/>
                    <w:right w:val="nil"/>
                  </w:tcBorders>
                  <w:shd w:val="clear" w:color="auto" w:fill="BFBFBF" w:themeFill="background1" w:themeFillShade="BF"/>
                </w:tcPr>
                <w:p w14:paraId="3D9A6962"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720" w:type="dxa"/>
                  <w:tcBorders>
                    <w:top w:val="nil"/>
                    <w:left w:val="nil"/>
                    <w:bottom w:val="nil"/>
                    <w:right w:val="nil"/>
                  </w:tcBorders>
                  <w:shd w:val="diagCross" w:color="FBE4D5" w:themeColor="accent2" w:themeTint="33" w:fill="auto"/>
                </w:tcPr>
                <w:p w14:paraId="67C9AB4B"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810" w:type="dxa"/>
                  <w:tcBorders>
                    <w:top w:val="nil"/>
                    <w:left w:val="nil"/>
                    <w:bottom w:val="nil"/>
                    <w:right w:val="nil"/>
                  </w:tcBorders>
                  <w:shd w:val="diagCross" w:color="FBE4D5" w:themeColor="accent2" w:themeTint="33" w:fill="auto"/>
                </w:tcPr>
                <w:p w14:paraId="3EBD3C28"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630" w:type="dxa"/>
                  <w:tcBorders>
                    <w:top w:val="nil"/>
                    <w:left w:val="nil"/>
                    <w:bottom w:val="nil"/>
                    <w:right w:val="nil"/>
                  </w:tcBorders>
                  <w:shd w:val="diagCross" w:color="FBE4D5" w:themeColor="accent2" w:themeTint="33" w:fill="auto"/>
                </w:tcPr>
                <w:p w14:paraId="7CB9912F" w14:textId="77777777" w:rsidR="00047105" w:rsidRPr="00946118" w:rsidRDefault="00047105" w:rsidP="00047105">
                  <w:pPr>
                    <w:jc w:val="center"/>
                  </w:pPr>
                  <w:r>
                    <w:t xml:space="preserve">  0</w:t>
                  </w:r>
                </w:p>
              </w:tc>
              <w:tc>
                <w:tcPr>
                  <w:tcW w:w="810" w:type="dxa"/>
                  <w:tcBorders>
                    <w:top w:val="nil"/>
                    <w:left w:val="nil"/>
                    <w:bottom w:val="nil"/>
                    <w:right w:val="single" w:sz="4" w:space="0" w:color="auto"/>
                  </w:tcBorders>
                  <w:shd w:val="diagCross" w:color="FBE4D5" w:themeColor="accent2" w:themeTint="33" w:fill="auto"/>
                </w:tcPr>
                <w:p w14:paraId="7603C34A" w14:textId="77777777" w:rsidR="00047105" w:rsidRPr="00946118" w:rsidRDefault="00047105" w:rsidP="00047105">
                  <w:pPr>
                    <w:jc w:val="center"/>
                  </w:pPr>
                  <w:r>
                    <w:t>0</w:t>
                  </w:r>
                </w:p>
              </w:tc>
            </w:tr>
            <w:bookmarkEnd w:id="5"/>
            <w:tr w:rsidR="00047105" w:rsidRPr="00B3531A" w14:paraId="1672DF90" w14:textId="77777777" w:rsidTr="00161F5D">
              <w:tc>
                <w:tcPr>
                  <w:tcW w:w="1159" w:type="dxa"/>
                  <w:tcBorders>
                    <w:top w:val="nil"/>
                    <w:bottom w:val="nil"/>
                    <w:right w:val="nil"/>
                  </w:tcBorders>
                </w:tcPr>
                <w:p w14:paraId="703A355C" w14:textId="77777777" w:rsidR="00047105" w:rsidRDefault="00047105" w:rsidP="00047105">
                  <w:pPr>
                    <w:jc w:val="center"/>
                    <w:rPr>
                      <w:rFonts w:ascii="Arial" w:hAnsi="Arial" w:cs="Arial"/>
                      <w:sz w:val="20"/>
                      <w:szCs w:val="20"/>
                    </w:rPr>
                  </w:pPr>
                  <w:r>
                    <w:rPr>
                      <w:rFonts w:ascii="Arial" w:hAnsi="Arial" w:cs="Arial"/>
                      <w:sz w:val="20"/>
                      <w:szCs w:val="20"/>
                    </w:rPr>
                    <w:t>B</w:t>
                  </w:r>
                </w:p>
              </w:tc>
              <w:tc>
                <w:tcPr>
                  <w:tcW w:w="1956" w:type="dxa"/>
                  <w:tcBorders>
                    <w:top w:val="nil"/>
                    <w:left w:val="nil"/>
                    <w:bottom w:val="nil"/>
                    <w:right w:val="single" w:sz="4" w:space="0" w:color="auto"/>
                  </w:tcBorders>
                </w:tcPr>
                <w:p w14:paraId="041E0E73" w14:textId="77777777" w:rsidR="00047105" w:rsidRDefault="00047105" w:rsidP="00047105">
                  <w:pPr>
                    <w:jc w:val="center"/>
                    <w:rPr>
                      <w:rFonts w:ascii="Arial" w:hAnsi="Arial" w:cs="Arial"/>
                      <w:sz w:val="20"/>
                      <w:szCs w:val="20"/>
                    </w:rPr>
                  </w:pPr>
                  <w:r>
                    <w:rPr>
                      <w:rFonts w:ascii="Arial" w:hAnsi="Arial" w:cs="Arial"/>
                      <w:sz w:val="20"/>
                      <w:szCs w:val="20"/>
                    </w:rPr>
                    <w:t xml:space="preserve">   5</w:t>
                  </w:r>
                </w:p>
              </w:tc>
              <w:tc>
                <w:tcPr>
                  <w:tcW w:w="720" w:type="dxa"/>
                  <w:tcBorders>
                    <w:top w:val="nil"/>
                    <w:left w:val="single" w:sz="4" w:space="0" w:color="auto"/>
                    <w:bottom w:val="nil"/>
                    <w:right w:val="nil"/>
                  </w:tcBorders>
                  <w:shd w:val="reverseDiagStripe" w:color="E2EFD9" w:themeColor="accent6" w:themeTint="33" w:fill="FFFFFF" w:themeFill="background1"/>
                </w:tcPr>
                <w:p w14:paraId="101D075B"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top w:val="nil"/>
                    <w:left w:val="nil"/>
                    <w:bottom w:val="nil"/>
                    <w:right w:val="nil"/>
                  </w:tcBorders>
                  <w:shd w:val="clear" w:color="auto" w:fill="AEAAAA" w:themeFill="background2" w:themeFillShade="BF"/>
                </w:tcPr>
                <w:p w14:paraId="44AFDCAA"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810" w:type="dxa"/>
                  <w:tcBorders>
                    <w:top w:val="nil"/>
                    <w:left w:val="nil"/>
                    <w:bottom w:val="nil"/>
                    <w:right w:val="nil"/>
                  </w:tcBorders>
                  <w:shd w:val="diagCross" w:color="FBE4D5" w:themeColor="accent2" w:themeTint="33" w:fill="auto"/>
                </w:tcPr>
                <w:p w14:paraId="29B13ED9"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630" w:type="dxa"/>
                  <w:tcBorders>
                    <w:top w:val="nil"/>
                    <w:left w:val="nil"/>
                    <w:bottom w:val="nil"/>
                    <w:right w:val="nil"/>
                  </w:tcBorders>
                  <w:shd w:val="diagCross" w:color="FBE4D5" w:themeColor="accent2" w:themeTint="33" w:fill="auto"/>
                </w:tcPr>
                <w:p w14:paraId="0FC4E38D" w14:textId="77777777" w:rsidR="00047105" w:rsidRPr="00946118" w:rsidRDefault="00047105" w:rsidP="00047105">
                  <w:pPr>
                    <w:jc w:val="center"/>
                  </w:pPr>
                  <w:r>
                    <w:t xml:space="preserve">  0</w:t>
                  </w:r>
                </w:p>
              </w:tc>
              <w:tc>
                <w:tcPr>
                  <w:tcW w:w="810" w:type="dxa"/>
                  <w:tcBorders>
                    <w:top w:val="nil"/>
                    <w:left w:val="nil"/>
                    <w:bottom w:val="nil"/>
                    <w:right w:val="single" w:sz="4" w:space="0" w:color="auto"/>
                  </w:tcBorders>
                  <w:shd w:val="diagCross" w:color="FBE4D5" w:themeColor="accent2" w:themeTint="33" w:fill="auto"/>
                </w:tcPr>
                <w:p w14:paraId="0F5A4E19" w14:textId="77777777" w:rsidR="00047105" w:rsidRPr="00946118" w:rsidRDefault="00047105" w:rsidP="00047105">
                  <w:pPr>
                    <w:jc w:val="center"/>
                  </w:pPr>
                  <w:r>
                    <w:t>0</w:t>
                  </w:r>
                </w:p>
              </w:tc>
            </w:tr>
            <w:tr w:rsidR="00047105" w:rsidRPr="00B3531A" w14:paraId="2792224B" w14:textId="77777777" w:rsidTr="00161F5D">
              <w:tc>
                <w:tcPr>
                  <w:tcW w:w="1159" w:type="dxa"/>
                  <w:tcBorders>
                    <w:top w:val="nil"/>
                    <w:bottom w:val="nil"/>
                    <w:right w:val="nil"/>
                  </w:tcBorders>
                </w:tcPr>
                <w:p w14:paraId="4FF75FEB" w14:textId="77777777" w:rsidR="00047105" w:rsidRDefault="00047105" w:rsidP="00047105">
                  <w:pPr>
                    <w:jc w:val="center"/>
                    <w:rPr>
                      <w:rFonts w:ascii="Arial" w:hAnsi="Arial" w:cs="Arial"/>
                      <w:sz w:val="20"/>
                      <w:szCs w:val="20"/>
                    </w:rPr>
                  </w:pPr>
                  <w:r>
                    <w:rPr>
                      <w:rFonts w:ascii="Arial" w:hAnsi="Arial" w:cs="Arial"/>
                      <w:sz w:val="20"/>
                      <w:szCs w:val="20"/>
                    </w:rPr>
                    <w:t>C</w:t>
                  </w:r>
                </w:p>
              </w:tc>
              <w:tc>
                <w:tcPr>
                  <w:tcW w:w="1956" w:type="dxa"/>
                  <w:tcBorders>
                    <w:top w:val="nil"/>
                    <w:left w:val="nil"/>
                    <w:bottom w:val="nil"/>
                    <w:right w:val="single" w:sz="4" w:space="0" w:color="auto"/>
                  </w:tcBorders>
                </w:tcPr>
                <w:p w14:paraId="60279495" w14:textId="77777777" w:rsidR="00047105" w:rsidRDefault="00047105" w:rsidP="00047105">
                  <w:pPr>
                    <w:jc w:val="center"/>
                    <w:rPr>
                      <w:rFonts w:ascii="Arial" w:hAnsi="Arial" w:cs="Arial"/>
                      <w:sz w:val="20"/>
                      <w:szCs w:val="20"/>
                    </w:rPr>
                  </w:pPr>
                  <w:r>
                    <w:rPr>
                      <w:rFonts w:ascii="Arial" w:hAnsi="Arial" w:cs="Arial"/>
                      <w:sz w:val="20"/>
                      <w:szCs w:val="20"/>
                    </w:rPr>
                    <w:t xml:space="preserve">  12</w:t>
                  </w:r>
                </w:p>
              </w:tc>
              <w:tc>
                <w:tcPr>
                  <w:tcW w:w="720" w:type="dxa"/>
                  <w:tcBorders>
                    <w:top w:val="nil"/>
                    <w:left w:val="single" w:sz="4" w:space="0" w:color="auto"/>
                    <w:bottom w:val="nil"/>
                    <w:right w:val="nil"/>
                  </w:tcBorders>
                  <w:shd w:val="reverseDiagStripe" w:color="E2EFD9" w:themeColor="accent6" w:themeTint="33" w:fill="FFFFFF" w:themeFill="background1"/>
                </w:tcPr>
                <w:p w14:paraId="697C0CA4"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top w:val="nil"/>
                    <w:left w:val="nil"/>
                    <w:bottom w:val="nil"/>
                    <w:right w:val="nil"/>
                  </w:tcBorders>
                  <w:shd w:val="reverseDiagStripe" w:color="E2EFD9" w:themeColor="accent6" w:themeTint="33" w:fill="FFFFFF" w:themeFill="background1"/>
                </w:tcPr>
                <w:p w14:paraId="56FDDAB9"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810" w:type="dxa"/>
                  <w:tcBorders>
                    <w:top w:val="nil"/>
                    <w:left w:val="nil"/>
                    <w:bottom w:val="nil"/>
                    <w:right w:val="nil"/>
                  </w:tcBorders>
                  <w:shd w:val="clear" w:color="auto" w:fill="AEAAAA" w:themeFill="background2" w:themeFillShade="BF"/>
                </w:tcPr>
                <w:p w14:paraId="63BCE1AB" w14:textId="77777777" w:rsidR="00047105" w:rsidRDefault="00047105" w:rsidP="00047105">
                  <w:pPr>
                    <w:jc w:val="center"/>
                    <w:rPr>
                      <w:rFonts w:ascii="Arial" w:hAnsi="Arial" w:cs="Arial"/>
                      <w:sz w:val="20"/>
                      <w:szCs w:val="20"/>
                    </w:rPr>
                  </w:pPr>
                  <w:r>
                    <w:rPr>
                      <w:rFonts w:ascii="Arial" w:hAnsi="Arial" w:cs="Arial"/>
                      <w:sz w:val="20"/>
                      <w:szCs w:val="20"/>
                    </w:rPr>
                    <w:t xml:space="preserve">  5</w:t>
                  </w:r>
                </w:p>
              </w:tc>
              <w:tc>
                <w:tcPr>
                  <w:tcW w:w="630" w:type="dxa"/>
                  <w:tcBorders>
                    <w:top w:val="nil"/>
                    <w:left w:val="nil"/>
                    <w:bottom w:val="nil"/>
                    <w:right w:val="nil"/>
                  </w:tcBorders>
                  <w:shd w:val="diagCross" w:color="FBE4D5" w:themeColor="accent2" w:themeTint="33" w:fill="auto"/>
                </w:tcPr>
                <w:p w14:paraId="602A3DA1" w14:textId="77777777" w:rsidR="00047105" w:rsidRPr="00946118" w:rsidRDefault="00047105" w:rsidP="00047105">
                  <w:pPr>
                    <w:jc w:val="center"/>
                  </w:pPr>
                  <w:r>
                    <w:t xml:space="preserve">  3</w:t>
                  </w:r>
                </w:p>
              </w:tc>
              <w:tc>
                <w:tcPr>
                  <w:tcW w:w="810" w:type="dxa"/>
                  <w:tcBorders>
                    <w:top w:val="nil"/>
                    <w:left w:val="nil"/>
                    <w:bottom w:val="nil"/>
                    <w:right w:val="single" w:sz="4" w:space="0" w:color="auto"/>
                  </w:tcBorders>
                  <w:shd w:val="diagCross" w:color="FBE4D5" w:themeColor="accent2" w:themeTint="33" w:fill="auto"/>
                </w:tcPr>
                <w:p w14:paraId="4F8B2187" w14:textId="77777777" w:rsidR="00047105" w:rsidRPr="00946118" w:rsidRDefault="00047105" w:rsidP="00047105">
                  <w:pPr>
                    <w:jc w:val="center"/>
                  </w:pPr>
                  <w:r>
                    <w:t>1</w:t>
                  </w:r>
                </w:p>
              </w:tc>
            </w:tr>
            <w:tr w:rsidR="00047105" w:rsidRPr="00B3531A" w14:paraId="7D094947" w14:textId="77777777" w:rsidTr="00161F5D">
              <w:tc>
                <w:tcPr>
                  <w:tcW w:w="1159" w:type="dxa"/>
                  <w:tcBorders>
                    <w:top w:val="nil"/>
                    <w:bottom w:val="single" w:sz="4" w:space="0" w:color="auto"/>
                    <w:right w:val="nil"/>
                  </w:tcBorders>
                </w:tcPr>
                <w:p w14:paraId="2C3A6074" w14:textId="77777777" w:rsidR="00047105" w:rsidRDefault="00047105" w:rsidP="00047105">
                  <w:pPr>
                    <w:jc w:val="center"/>
                    <w:rPr>
                      <w:rFonts w:ascii="Arial" w:hAnsi="Arial" w:cs="Arial"/>
                      <w:sz w:val="20"/>
                      <w:szCs w:val="20"/>
                    </w:rPr>
                  </w:pPr>
                  <w:r>
                    <w:rPr>
                      <w:rFonts w:ascii="Arial" w:hAnsi="Arial" w:cs="Arial"/>
                      <w:sz w:val="20"/>
                      <w:szCs w:val="20"/>
                    </w:rPr>
                    <w:t>D</w:t>
                  </w:r>
                </w:p>
              </w:tc>
              <w:tc>
                <w:tcPr>
                  <w:tcW w:w="1956" w:type="dxa"/>
                  <w:tcBorders>
                    <w:top w:val="nil"/>
                    <w:left w:val="nil"/>
                    <w:bottom w:val="single" w:sz="4" w:space="0" w:color="auto"/>
                    <w:right w:val="single" w:sz="4" w:space="0" w:color="auto"/>
                  </w:tcBorders>
                </w:tcPr>
                <w:p w14:paraId="56930760"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top w:val="nil"/>
                    <w:left w:val="single" w:sz="4" w:space="0" w:color="auto"/>
                    <w:bottom w:val="single" w:sz="4" w:space="0" w:color="auto"/>
                    <w:right w:val="nil"/>
                  </w:tcBorders>
                  <w:shd w:val="reverseDiagStripe" w:color="E2EFD9" w:themeColor="accent6" w:themeTint="33" w:fill="FFFFFF" w:themeFill="background1"/>
                </w:tcPr>
                <w:p w14:paraId="618EC16B" w14:textId="77777777" w:rsidR="00047105" w:rsidRDefault="00047105" w:rsidP="00047105">
                  <w:pPr>
                    <w:jc w:val="center"/>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nil"/>
                  </w:tcBorders>
                  <w:shd w:val="reverseDiagStripe" w:color="E2EFD9" w:themeColor="accent6" w:themeTint="33" w:fill="FFFFFF" w:themeFill="background1"/>
                </w:tcPr>
                <w:p w14:paraId="3C9F1404"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810" w:type="dxa"/>
                  <w:tcBorders>
                    <w:top w:val="nil"/>
                    <w:left w:val="nil"/>
                    <w:bottom w:val="single" w:sz="4" w:space="0" w:color="auto"/>
                    <w:right w:val="nil"/>
                  </w:tcBorders>
                  <w:shd w:val="reverseDiagStripe" w:color="E2EFD9" w:themeColor="accent6" w:themeTint="33" w:fill="auto"/>
                </w:tcPr>
                <w:p w14:paraId="3DCFB7BE"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630" w:type="dxa"/>
                  <w:tcBorders>
                    <w:top w:val="nil"/>
                    <w:left w:val="nil"/>
                    <w:bottom w:val="single" w:sz="4" w:space="0" w:color="auto"/>
                    <w:right w:val="nil"/>
                  </w:tcBorders>
                  <w:shd w:val="clear" w:color="auto" w:fill="AEAAAA" w:themeFill="background2" w:themeFillShade="BF"/>
                </w:tcPr>
                <w:p w14:paraId="64C8C924" w14:textId="77777777" w:rsidR="00047105" w:rsidRDefault="00047105" w:rsidP="00047105">
                  <w:pPr>
                    <w:jc w:val="center"/>
                  </w:pPr>
                  <w:r>
                    <w:t xml:space="preserve">  0</w:t>
                  </w:r>
                </w:p>
              </w:tc>
              <w:tc>
                <w:tcPr>
                  <w:tcW w:w="810" w:type="dxa"/>
                  <w:tcBorders>
                    <w:top w:val="nil"/>
                    <w:left w:val="nil"/>
                    <w:bottom w:val="single" w:sz="4" w:space="0" w:color="auto"/>
                    <w:right w:val="single" w:sz="4" w:space="0" w:color="auto"/>
                  </w:tcBorders>
                  <w:shd w:val="diagCross" w:color="FBE4D5" w:themeColor="accent2" w:themeTint="33" w:fill="auto"/>
                </w:tcPr>
                <w:p w14:paraId="05D9511C" w14:textId="77777777" w:rsidR="00047105" w:rsidRDefault="00047105" w:rsidP="00047105">
                  <w:pPr>
                    <w:jc w:val="center"/>
                  </w:pPr>
                  <w:r>
                    <w:t>0</w:t>
                  </w:r>
                </w:p>
              </w:tc>
            </w:tr>
            <w:tr w:rsidR="00047105" w:rsidRPr="00B3531A" w14:paraId="73A34AF3" w14:textId="77777777" w:rsidTr="00161F5D">
              <w:tc>
                <w:tcPr>
                  <w:tcW w:w="6805" w:type="dxa"/>
                  <w:gridSpan w:val="7"/>
                  <w:tcBorders>
                    <w:bottom w:val="single" w:sz="4" w:space="0" w:color="auto"/>
                  </w:tcBorders>
                  <w:shd w:val="clear" w:color="auto" w:fill="auto"/>
                </w:tcPr>
                <w:p w14:paraId="684D2C24" w14:textId="77777777" w:rsidR="00047105" w:rsidRDefault="00047105" w:rsidP="00047105">
                  <w:pPr>
                    <w:rPr>
                      <w:rFonts w:ascii="Arial" w:hAnsi="Arial" w:cs="Arial"/>
                      <w:sz w:val="20"/>
                      <w:szCs w:val="20"/>
                    </w:rPr>
                  </w:pPr>
                  <w:r>
                    <w:rPr>
                      <w:rFonts w:ascii="Arial" w:hAnsi="Arial" w:cs="Arial"/>
                      <w:sz w:val="20"/>
                      <w:szCs w:val="20"/>
                    </w:rPr>
                    <w:t>Candidates entering in 2019</w:t>
                  </w:r>
                </w:p>
              </w:tc>
            </w:tr>
            <w:tr w:rsidR="00047105" w:rsidRPr="00B3531A" w14:paraId="33108328" w14:textId="77777777" w:rsidTr="00161F5D">
              <w:tc>
                <w:tcPr>
                  <w:tcW w:w="1159" w:type="dxa"/>
                  <w:tcBorders>
                    <w:bottom w:val="nil"/>
                    <w:right w:val="nil"/>
                  </w:tcBorders>
                  <w:shd w:val="clear" w:color="auto" w:fill="auto"/>
                </w:tcPr>
                <w:p w14:paraId="5A7F3F5E" w14:textId="77777777" w:rsidR="00047105" w:rsidRDefault="00047105" w:rsidP="00047105">
                  <w:pPr>
                    <w:jc w:val="center"/>
                    <w:rPr>
                      <w:rFonts w:ascii="Arial" w:hAnsi="Arial" w:cs="Arial"/>
                      <w:sz w:val="20"/>
                      <w:szCs w:val="20"/>
                    </w:rPr>
                  </w:pPr>
                  <w:r>
                    <w:rPr>
                      <w:rFonts w:ascii="Arial" w:hAnsi="Arial" w:cs="Arial"/>
                      <w:sz w:val="20"/>
                      <w:szCs w:val="20"/>
                    </w:rPr>
                    <w:t>A</w:t>
                  </w:r>
                </w:p>
              </w:tc>
              <w:tc>
                <w:tcPr>
                  <w:tcW w:w="1956" w:type="dxa"/>
                  <w:tcBorders>
                    <w:left w:val="nil"/>
                    <w:bottom w:val="nil"/>
                    <w:right w:val="single" w:sz="4" w:space="0" w:color="auto"/>
                  </w:tcBorders>
                  <w:shd w:val="clear" w:color="auto" w:fill="auto"/>
                </w:tcPr>
                <w:p w14:paraId="5EAED2FC"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top w:val="single" w:sz="4" w:space="0" w:color="auto"/>
                    <w:left w:val="single" w:sz="4" w:space="0" w:color="auto"/>
                    <w:bottom w:val="nil"/>
                    <w:right w:val="nil"/>
                  </w:tcBorders>
                  <w:shd w:val="clear" w:color="auto" w:fill="AEAAAA" w:themeFill="background2" w:themeFillShade="BF"/>
                </w:tcPr>
                <w:p w14:paraId="73E10594"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left w:val="nil"/>
                    <w:bottom w:val="nil"/>
                    <w:right w:val="nil"/>
                  </w:tcBorders>
                  <w:shd w:val="pct5" w:color="auto" w:fill="FBE4D5" w:themeFill="accent2" w:themeFillTint="33"/>
                </w:tcPr>
                <w:p w14:paraId="1A9FFE85"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left w:val="nil"/>
                    <w:bottom w:val="nil"/>
                    <w:right w:val="nil"/>
                  </w:tcBorders>
                  <w:shd w:val="pct5" w:color="auto" w:fill="FBE4D5" w:themeFill="accent2" w:themeFillTint="33"/>
                </w:tcPr>
                <w:p w14:paraId="06F4029F"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630" w:type="dxa"/>
                  <w:tcBorders>
                    <w:top w:val="nil"/>
                    <w:left w:val="nil"/>
                    <w:bottom w:val="nil"/>
                    <w:right w:val="nil"/>
                  </w:tcBorders>
                  <w:shd w:val="pct5" w:color="auto" w:fill="FBE4D5" w:themeFill="accent2" w:themeFillTint="33"/>
                </w:tcPr>
                <w:p w14:paraId="5A153A1E"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nil"/>
                    <w:right w:val="nil"/>
                  </w:tcBorders>
                  <w:shd w:val="pct5" w:color="auto" w:fill="FBE4D5" w:themeFill="accent2" w:themeFillTint="33"/>
                </w:tcPr>
                <w:p w14:paraId="7B637F1D" w14:textId="77777777" w:rsidR="00047105"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5D91461E" w14:textId="77777777" w:rsidTr="00161F5D">
              <w:tc>
                <w:tcPr>
                  <w:tcW w:w="1159" w:type="dxa"/>
                  <w:tcBorders>
                    <w:top w:val="nil"/>
                    <w:bottom w:val="nil"/>
                    <w:right w:val="nil"/>
                  </w:tcBorders>
                  <w:shd w:val="clear" w:color="auto" w:fill="auto"/>
                </w:tcPr>
                <w:p w14:paraId="1B8466AE" w14:textId="77777777" w:rsidR="00047105" w:rsidRDefault="00047105" w:rsidP="00047105">
                  <w:pPr>
                    <w:jc w:val="center"/>
                    <w:rPr>
                      <w:rFonts w:ascii="Arial" w:hAnsi="Arial" w:cs="Arial"/>
                      <w:sz w:val="20"/>
                      <w:szCs w:val="20"/>
                    </w:rPr>
                  </w:pPr>
                  <w:r>
                    <w:rPr>
                      <w:rFonts w:ascii="Arial" w:hAnsi="Arial" w:cs="Arial"/>
                      <w:sz w:val="20"/>
                      <w:szCs w:val="20"/>
                    </w:rPr>
                    <w:t>B</w:t>
                  </w:r>
                </w:p>
              </w:tc>
              <w:tc>
                <w:tcPr>
                  <w:tcW w:w="1956" w:type="dxa"/>
                  <w:tcBorders>
                    <w:top w:val="nil"/>
                    <w:left w:val="nil"/>
                    <w:bottom w:val="nil"/>
                    <w:right w:val="single" w:sz="4" w:space="0" w:color="auto"/>
                  </w:tcBorders>
                  <w:shd w:val="clear" w:color="auto" w:fill="auto"/>
                </w:tcPr>
                <w:p w14:paraId="4163F030" w14:textId="77777777" w:rsidR="00047105" w:rsidRDefault="00047105" w:rsidP="00047105">
                  <w:pPr>
                    <w:jc w:val="center"/>
                    <w:rPr>
                      <w:rFonts w:ascii="Arial" w:hAnsi="Arial" w:cs="Arial"/>
                      <w:sz w:val="20"/>
                      <w:szCs w:val="20"/>
                    </w:rPr>
                  </w:pPr>
                  <w:r>
                    <w:rPr>
                      <w:rFonts w:ascii="Arial" w:hAnsi="Arial" w:cs="Arial"/>
                      <w:sz w:val="20"/>
                      <w:szCs w:val="20"/>
                    </w:rPr>
                    <w:t xml:space="preserve">  6</w:t>
                  </w:r>
                </w:p>
              </w:tc>
              <w:tc>
                <w:tcPr>
                  <w:tcW w:w="720" w:type="dxa"/>
                  <w:tcBorders>
                    <w:top w:val="nil"/>
                    <w:left w:val="single" w:sz="4" w:space="0" w:color="auto"/>
                    <w:bottom w:val="nil"/>
                    <w:right w:val="nil"/>
                  </w:tcBorders>
                  <w:shd w:val="reverseDiagStripe" w:color="E2EFD9" w:themeColor="accent6" w:themeTint="33" w:fill="auto"/>
                </w:tcPr>
                <w:p w14:paraId="32022626" w14:textId="77777777" w:rsidR="00047105" w:rsidRDefault="00047105" w:rsidP="00047105">
                  <w:pPr>
                    <w:jc w:val="center"/>
                    <w:rPr>
                      <w:rFonts w:ascii="Arial" w:hAnsi="Arial" w:cs="Arial"/>
                      <w:sz w:val="20"/>
                      <w:szCs w:val="20"/>
                    </w:rPr>
                  </w:pPr>
                  <w:r>
                    <w:rPr>
                      <w:rFonts w:ascii="Arial" w:hAnsi="Arial" w:cs="Arial"/>
                      <w:sz w:val="20"/>
                      <w:szCs w:val="20"/>
                    </w:rPr>
                    <w:t xml:space="preserve">  2</w:t>
                  </w:r>
                </w:p>
              </w:tc>
              <w:tc>
                <w:tcPr>
                  <w:tcW w:w="720" w:type="dxa"/>
                  <w:tcBorders>
                    <w:top w:val="nil"/>
                    <w:left w:val="nil"/>
                    <w:bottom w:val="nil"/>
                    <w:right w:val="nil"/>
                  </w:tcBorders>
                  <w:shd w:val="clear" w:color="auto" w:fill="AEAAAA" w:themeFill="background2" w:themeFillShade="BF"/>
                </w:tcPr>
                <w:p w14:paraId="177E48F0" w14:textId="77777777" w:rsidR="00047105" w:rsidRDefault="00047105" w:rsidP="00047105">
                  <w:pPr>
                    <w:jc w:val="center"/>
                    <w:rPr>
                      <w:rFonts w:ascii="Arial" w:hAnsi="Arial" w:cs="Arial"/>
                      <w:sz w:val="20"/>
                      <w:szCs w:val="20"/>
                    </w:rPr>
                  </w:pPr>
                  <w:r>
                    <w:rPr>
                      <w:rFonts w:ascii="Arial" w:hAnsi="Arial" w:cs="Arial"/>
                      <w:sz w:val="20"/>
                      <w:szCs w:val="20"/>
                    </w:rPr>
                    <w:t xml:space="preserve">  3</w:t>
                  </w:r>
                </w:p>
              </w:tc>
              <w:tc>
                <w:tcPr>
                  <w:tcW w:w="810" w:type="dxa"/>
                  <w:tcBorders>
                    <w:top w:val="nil"/>
                    <w:left w:val="nil"/>
                    <w:bottom w:val="nil"/>
                    <w:right w:val="nil"/>
                  </w:tcBorders>
                  <w:shd w:val="pct5" w:color="auto" w:fill="FBE4D5" w:themeFill="accent2" w:themeFillTint="33"/>
                </w:tcPr>
                <w:p w14:paraId="62C0DD73"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630" w:type="dxa"/>
                  <w:tcBorders>
                    <w:top w:val="nil"/>
                    <w:left w:val="nil"/>
                    <w:bottom w:val="nil"/>
                    <w:right w:val="nil"/>
                  </w:tcBorders>
                  <w:shd w:val="pct5" w:color="auto" w:fill="FBE4D5" w:themeFill="accent2" w:themeFillTint="33"/>
                </w:tcPr>
                <w:p w14:paraId="1BFC82CF" w14:textId="77777777" w:rsidR="00047105" w:rsidRDefault="00047105" w:rsidP="00047105">
                  <w:pPr>
                    <w:jc w:val="center"/>
                    <w:rPr>
                      <w:rFonts w:ascii="Arial" w:hAnsi="Arial" w:cs="Arial"/>
                      <w:sz w:val="20"/>
                      <w:szCs w:val="20"/>
                    </w:rPr>
                  </w:pPr>
                </w:p>
              </w:tc>
              <w:tc>
                <w:tcPr>
                  <w:tcW w:w="810" w:type="dxa"/>
                  <w:tcBorders>
                    <w:top w:val="nil"/>
                    <w:left w:val="nil"/>
                    <w:bottom w:val="nil"/>
                    <w:right w:val="nil"/>
                  </w:tcBorders>
                  <w:shd w:val="pct5" w:color="auto" w:fill="FBE4D5" w:themeFill="accent2" w:themeFillTint="33"/>
                </w:tcPr>
                <w:p w14:paraId="4133069B" w14:textId="77777777" w:rsidR="00047105" w:rsidRDefault="00047105" w:rsidP="00047105">
                  <w:pPr>
                    <w:jc w:val="center"/>
                    <w:rPr>
                      <w:rFonts w:ascii="Arial" w:hAnsi="Arial" w:cs="Arial"/>
                      <w:sz w:val="20"/>
                      <w:szCs w:val="20"/>
                    </w:rPr>
                  </w:pPr>
                </w:p>
              </w:tc>
            </w:tr>
            <w:tr w:rsidR="00047105" w:rsidRPr="00B3531A" w14:paraId="0147D8FB" w14:textId="77777777" w:rsidTr="00161F5D">
              <w:tc>
                <w:tcPr>
                  <w:tcW w:w="1159" w:type="dxa"/>
                  <w:tcBorders>
                    <w:top w:val="nil"/>
                    <w:bottom w:val="nil"/>
                    <w:right w:val="nil"/>
                  </w:tcBorders>
                  <w:shd w:val="clear" w:color="auto" w:fill="auto"/>
                </w:tcPr>
                <w:p w14:paraId="293BD6A0" w14:textId="77777777" w:rsidR="00047105" w:rsidRDefault="00047105" w:rsidP="00047105">
                  <w:pPr>
                    <w:jc w:val="center"/>
                    <w:rPr>
                      <w:rFonts w:ascii="Arial" w:hAnsi="Arial" w:cs="Arial"/>
                      <w:sz w:val="20"/>
                      <w:szCs w:val="20"/>
                    </w:rPr>
                  </w:pPr>
                  <w:r>
                    <w:rPr>
                      <w:rFonts w:ascii="Arial" w:hAnsi="Arial" w:cs="Arial"/>
                      <w:sz w:val="20"/>
                      <w:szCs w:val="20"/>
                    </w:rPr>
                    <w:t>C</w:t>
                  </w:r>
                </w:p>
              </w:tc>
              <w:tc>
                <w:tcPr>
                  <w:tcW w:w="1956" w:type="dxa"/>
                  <w:tcBorders>
                    <w:top w:val="nil"/>
                    <w:left w:val="nil"/>
                    <w:bottom w:val="nil"/>
                    <w:right w:val="single" w:sz="4" w:space="0" w:color="auto"/>
                  </w:tcBorders>
                  <w:shd w:val="clear" w:color="auto" w:fill="auto"/>
                </w:tcPr>
                <w:p w14:paraId="77A576E9" w14:textId="77777777" w:rsidR="00047105" w:rsidRDefault="00047105" w:rsidP="00047105">
                  <w:pPr>
                    <w:jc w:val="center"/>
                    <w:rPr>
                      <w:rFonts w:ascii="Arial" w:hAnsi="Arial" w:cs="Arial"/>
                      <w:sz w:val="20"/>
                      <w:szCs w:val="20"/>
                    </w:rPr>
                  </w:pPr>
                  <w:r>
                    <w:rPr>
                      <w:rFonts w:ascii="Arial" w:hAnsi="Arial" w:cs="Arial"/>
                      <w:sz w:val="20"/>
                      <w:szCs w:val="20"/>
                    </w:rPr>
                    <w:t xml:space="preserve">  4</w:t>
                  </w:r>
                </w:p>
              </w:tc>
              <w:tc>
                <w:tcPr>
                  <w:tcW w:w="720" w:type="dxa"/>
                  <w:tcBorders>
                    <w:top w:val="nil"/>
                    <w:left w:val="single" w:sz="4" w:space="0" w:color="auto"/>
                    <w:bottom w:val="nil"/>
                    <w:right w:val="nil"/>
                  </w:tcBorders>
                  <w:shd w:val="reverseDiagStripe" w:color="E2EFD9" w:themeColor="accent6" w:themeTint="33" w:fill="auto"/>
                </w:tcPr>
                <w:p w14:paraId="21CFD117"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bottom w:val="nil"/>
                    <w:right w:val="nil"/>
                  </w:tcBorders>
                  <w:shd w:val="reverseDiagStripe" w:color="E2EFD9" w:themeColor="accent6" w:themeTint="33" w:fill="auto"/>
                </w:tcPr>
                <w:p w14:paraId="3C95305A"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nil"/>
                    <w:right w:val="nil"/>
                  </w:tcBorders>
                  <w:shd w:val="clear" w:color="auto" w:fill="AEAAAA" w:themeFill="background2" w:themeFillShade="BF"/>
                </w:tcPr>
                <w:p w14:paraId="426CD419" w14:textId="77777777" w:rsidR="00047105" w:rsidRDefault="00047105" w:rsidP="00047105">
                  <w:pPr>
                    <w:jc w:val="center"/>
                    <w:rPr>
                      <w:rFonts w:ascii="Arial" w:hAnsi="Arial" w:cs="Arial"/>
                      <w:sz w:val="20"/>
                      <w:szCs w:val="20"/>
                    </w:rPr>
                  </w:pPr>
                  <w:r>
                    <w:rPr>
                      <w:rFonts w:ascii="Arial" w:hAnsi="Arial" w:cs="Arial"/>
                      <w:sz w:val="20"/>
                      <w:szCs w:val="20"/>
                    </w:rPr>
                    <w:t xml:space="preserve">  4</w:t>
                  </w:r>
                </w:p>
              </w:tc>
              <w:tc>
                <w:tcPr>
                  <w:tcW w:w="630" w:type="dxa"/>
                  <w:tcBorders>
                    <w:top w:val="nil"/>
                    <w:left w:val="nil"/>
                    <w:bottom w:val="nil"/>
                    <w:right w:val="nil"/>
                  </w:tcBorders>
                  <w:shd w:val="clear" w:color="auto" w:fill="FBE4D5" w:themeFill="accent2" w:themeFillTint="33"/>
                </w:tcPr>
                <w:p w14:paraId="64119008"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nil"/>
                    <w:right w:val="nil"/>
                  </w:tcBorders>
                  <w:shd w:val="clear" w:color="auto" w:fill="FBE4D5" w:themeFill="accent2" w:themeFillTint="33"/>
                </w:tcPr>
                <w:p w14:paraId="10CF71A7" w14:textId="77777777" w:rsidR="00047105"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6E8EDB56" w14:textId="77777777" w:rsidTr="00161F5D">
              <w:tc>
                <w:tcPr>
                  <w:tcW w:w="1159" w:type="dxa"/>
                  <w:tcBorders>
                    <w:top w:val="nil"/>
                    <w:bottom w:val="nil"/>
                    <w:right w:val="nil"/>
                  </w:tcBorders>
                  <w:shd w:val="clear" w:color="auto" w:fill="auto"/>
                </w:tcPr>
                <w:p w14:paraId="3C5BC956" w14:textId="77777777" w:rsidR="00047105" w:rsidRDefault="00047105" w:rsidP="00047105">
                  <w:pPr>
                    <w:jc w:val="center"/>
                    <w:rPr>
                      <w:rFonts w:ascii="Arial" w:hAnsi="Arial" w:cs="Arial"/>
                      <w:sz w:val="20"/>
                      <w:szCs w:val="20"/>
                    </w:rPr>
                  </w:pPr>
                  <w:r>
                    <w:rPr>
                      <w:rFonts w:ascii="Arial" w:hAnsi="Arial" w:cs="Arial"/>
                      <w:sz w:val="20"/>
                      <w:szCs w:val="20"/>
                    </w:rPr>
                    <w:t>D</w:t>
                  </w:r>
                </w:p>
              </w:tc>
              <w:tc>
                <w:tcPr>
                  <w:tcW w:w="1956" w:type="dxa"/>
                  <w:tcBorders>
                    <w:top w:val="nil"/>
                    <w:left w:val="nil"/>
                    <w:bottom w:val="nil"/>
                    <w:right w:val="single" w:sz="4" w:space="0" w:color="auto"/>
                  </w:tcBorders>
                  <w:shd w:val="clear" w:color="auto" w:fill="auto"/>
                </w:tcPr>
                <w:p w14:paraId="2847ABE8"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720" w:type="dxa"/>
                  <w:tcBorders>
                    <w:top w:val="nil"/>
                    <w:left w:val="single" w:sz="4" w:space="0" w:color="auto"/>
                    <w:bottom w:val="nil"/>
                    <w:right w:val="nil"/>
                  </w:tcBorders>
                  <w:shd w:val="reverseDiagStripe" w:color="E2EFD9" w:themeColor="accent6" w:themeTint="33" w:fill="auto"/>
                </w:tcPr>
                <w:p w14:paraId="609AA30B"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720" w:type="dxa"/>
                  <w:tcBorders>
                    <w:top w:val="nil"/>
                    <w:left w:val="nil"/>
                    <w:bottom w:val="nil"/>
                    <w:right w:val="nil"/>
                  </w:tcBorders>
                  <w:shd w:val="reverseDiagStripe" w:color="E2EFD9" w:themeColor="accent6" w:themeTint="33" w:fill="auto"/>
                </w:tcPr>
                <w:p w14:paraId="276DCCF1"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810" w:type="dxa"/>
                  <w:tcBorders>
                    <w:top w:val="nil"/>
                    <w:left w:val="nil"/>
                    <w:bottom w:val="nil"/>
                    <w:right w:val="nil"/>
                  </w:tcBorders>
                  <w:shd w:val="reverseDiagStripe" w:color="E2EFD9" w:themeColor="accent6" w:themeTint="33" w:fill="auto"/>
                </w:tcPr>
                <w:p w14:paraId="3A5BFB43" w14:textId="77777777" w:rsidR="00047105" w:rsidRDefault="00047105" w:rsidP="00047105">
                  <w:pPr>
                    <w:jc w:val="center"/>
                    <w:rPr>
                      <w:rFonts w:ascii="Arial" w:hAnsi="Arial" w:cs="Arial"/>
                      <w:sz w:val="20"/>
                      <w:szCs w:val="20"/>
                    </w:rPr>
                  </w:pPr>
                  <w:r>
                    <w:rPr>
                      <w:rFonts w:ascii="Arial" w:hAnsi="Arial" w:cs="Arial"/>
                      <w:sz w:val="20"/>
                      <w:szCs w:val="20"/>
                    </w:rPr>
                    <w:t xml:space="preserve">  0</w:t>
                  </w:r>
                </w:p>
              </w:tc>
              <w:tc>
                <w:tcPr>
                  <w:tcW w:w="630" w:type="dxa"/>
                  <w:tcBorders>
                    <w:top w:val="nil"/>
                    <w:left w:val="nil"/>
                    <w:bottom w:val="nil"/>
                    <w:right w:val="nil"/>
                  </w:tcBorders>
                  <w:shd w:val="clear" w:color="auto" w:fill="AEAAAA" w:themeFill="background2" w:themeFillShade="BF"/>
                </w:tcPr>
                <w:p w14:paraId="75C31EA4" w14:textId="77777777" w:rsidR="00047105" w:rsidRDefault="00047105" w:rsidP="00047105">
                  <w:pPr>
                    <w:jc w:val="center"/>
                    <w:rPr>
                      <w:rFonts w:ascii="Arial" w:hAnsi="Arial" w:cs="Arial"/>
                      <w:sz w:val="20"/>
                      <w:szCs w:val="20"/>
                    </w:rPr>
                  </w:pPr>
                  <w:r>
                    <w:rPr>
                      <w:rFonts w:ascii="Arial" w:hAnsi="Arial" w:cs="Arial"/>
                      <w:sz w:val="20"/>
                      <w:szCs w:val="20"/>
                    </w:rPr>
                    <w:t xml:space="preserve">  1</w:t>
                  </w:r>
                </w:p>
              </w:tc>
              <w:tc>
                <w:tcPr>
                  <w:tcW w:w="810" w:type="dxa"/>
                  <w:tcBorders>
                    <w:top w:val="nil"/>
                    <w:left w:val="nil"/>
                    <w:bottom w:val="nil"/>
                    <w:right w:val="nil"/>
                  </w:tcBorders>
                  <w:shd w:val="pct5" w:color="auto" w:fill="FBE4D5" w:themeFill="accent2" w:themeFillTint="33"/>
                </w:tcPr>
                <w:p w14:paraId="597B6998" w14:textId="77777777" w:rsidR="00047105" w:rsidRDefault="00047105" w:rsidP="00047105">
                  <w:pPr>
                    <w:jc w:val="center"/>
                    <w:rPr>
                      <w:rFonts w:ascii="Arial" w:hAnsi="Arial" w:cs="Arial"/>
                      <w:sz w:val="20"/>
                      <w:szCs w:val="20"/>
                    </w:rPr>
                  </w:pPr>
                  <w:r>
                    <w:rPr>
                      <w:rFonts w:ascii="Arial" w:hAnsi="Arial" w:cs="Arial"/>
                      <w:sz w:val="20"/>
                      <w:szCs w:val="20"/>
                    </w:rPr>
                    <w:t>0</w:t>
                  </w:r>
                </w:p>
              </w:tc>
            </w:tr>
            <w:tr w:rsidR="00047105" w:rsidRPr="00B3531A" w14:paraId="65688506" w14:textId="77777777" w:rsidTr="00161F5D">
              <w:tc>
                <w:tcPr>
                  <w:tcW w:w="1159" w:type="dxa"/>
                  <w:tcBorders>
                    <w:top w:val="nil"/>
                    <w:right w:val="nil"/>
                  </w:tcBorders>
                  <w:shd w:val="clear" w:color="auto" w:fill="D9E2F3" w:themeFill="accent1" w:themeFillTint="33"/>
                </w:tcPr>
                <w:p w14:paraId="79815A64" w14:textId="77777777" w:rsidR="00047105" w:rsidRDefault="00047105" w:rsidP="00047105">
                  <w:pPr>
                    <w:jc w:val="center"/>
                    <w:rPr>
                      <w:rFonts w:ascii="Arial" w:hAnsi="Arial" w:cs="Arial"/>
                      <w:sz w:val="20"/>
                      <w:szCs w:val="20"/>
                    </w:rPr>
                  </w:pPr>
                  <w:r>
                    <w:rPr>
                      <w:rFonts w:ascii="Arial" w:hAnsi="Arial" w:cs="Arial"/>
                      <w:sz w:val="20"/>
                      <w:szCs w:val="20"/>
                    </w:rPr>
                    <w:t>Total</w:t>
                  </w:r>
                </w:p>
              </w:tc>
              <w:tc>
                <w:tcPr>
                  <w:tcW w:w="1956" w:type="dxa"/>
                  <w:tcBorders>
                    <w:top w:val="nil"/>
                    <w:left w:val="nil"/>
                    <w:right w:val="single" w:sz="4" w:space="0" w:color="auto"/>
                  </w:tcBorders>
                  <w:shd w:val="clear" w:color="auto" w:fill="D9E2F3" w:themeFill="accent1" w:themeFillTint="33"/>
                </w:tcPr>
                <w:p w14:paraId="72759ABF" w14:textId="77777777" w:rsidR="00047105" w:rsidRDefault="00047105" w:rsidP="00047105">
                  <w:pPr>
                    <w:jc w:val="center"/>
                    <w:rPr>
                      <w:rFonts w:ascii="Arial" w:hAnsi="Arial" w:cs="Arial"/>
                      <w:sz w:val="20"/>
                      <w:szCs w:val="20"/>
                    </w:rPr>
                  </w:pPr>
                  <w:r>
                    <w:rPr>
                      <w:rFonts w:ascii="Arial" w:hAnsi="Arial" w:cs="Arial"/>
                      <w:sz w:val="20"/>
                      <w:szCs w:val="20"/>
                    </w:rPr>
                    <w:t>79</w:t>
                  </w:r>
                </w:p>
              </w:tc>
              <w:tc>
                <w:tcPr>
                  <w:tcW w:w="720" w:type="dxa"/>
                  <w:tcBorders>
                    <w:top w:val="nil"/>
                    <w:left w:val="single" w:sz="4" w:space="0" w:color="auto"/>
                    <w:right w:val="nil"/>
                  </w:tcBorders>
                  <w:shd w:val="clear" w:color="auto" w:fill="D9E2F3" w:themeFill="accent1" w:themeFillTint="33"/>
                </w:tcPr>
                <w:p w14:paraId="24BE8B4C" w14:textId="77777777" w:rsidR="00047105" w:rsidRDefault="00047105" w:rsidP="00047105">
                  <w:pPr>
                    <w:jc w:val="center"/>
                    <w:rPr>
                      <w:rFonts w:ascii="Arial" w:hAnsi="Arial" w:cs="Arial"/>
                      <w:sz w:val="20"/>
                      <w:szCs w:val="20"/>
                    </w:rPr>
                  </w:pPr>
                  <w:r>
                    <w:rPr>
                      <w:rFonts w:ascii="Arial" w:hAnsi="Arial" w:cs="Arial"/>
                      <w:sz w:val="20"/>
                      <w:szCs w:val="20"/>
                    </w:rPr>
                    <w:t>26</w:t>
                  </w:r>
                </w:p>
              </w:tc>
              <w:tc>
                <w:tcPr>
                  <w:tcW w:w="720" w:type="dxa"/>
                  <w:tcBorders>
                    <w:top w:val="nil"/>
                    <w:left w:val="nil"/>
                    <w:bottom w:val="single" w:sz="4" w:space="0" w:color="auto"/>
                    <w:right w:val="nil"/>
                  </w:tcBorders>
                  <w:shd w:val="clear" w:color="auto" w:fill="D9E2F3" w:themeFill="accent1" w:themeFillTint="33"/>
                </w:tcPr>
                <w:p w14:paraId="3CF2AA77" w14:textId="77777777" w:rsidR="00047105" w:rsidRDefault="00047105" w:rsidP="00047105">
                  <w:pPr>
                    <w:jc w:val="center"/>
                    <w:rPr>
                      <w:rFonts w:ascii="Arial" w:hAnsi="Arial" w:cs="Arial"/>
                      <w:sz w:val="20"/>
                      <w:szCs w:val="20"/>
                    </w:rPr>
                  </w:pPr>
                  <w:r>
                    <w:rPr>
                      <w:rFonts w:ascii="Arial" w:hAnsi="Arial" w:cs="Arial"/>
                      <w:sz w:val="20"/>
                      <w:szCs w:val="20"/>
                    </w:rPr>
                    <w:t>20</w:t>
                  </w:r>
                </w:p>
              </w:tc>
              <w:tc>
                <w:tcPr>
                  <w:tcW w:w="810" w:type="dxa"/>
                  <w:tcBorders>
                    <w:top w:val="nil"/>
                    <w:left w:val="nil"/>
                    <w:right w:val="nil"/>
                  </w:tcBorders>
                  <w:shd w:val="clear" w:color="auto" w:fill="D9E2F3" w:themeFill="accent1" w:themeFillTint="33"/>
                </w:tcPr>
                <w:p w14:paraId="4482787D" w14:textId="77777777" w:rsidR="00047105" w:rsidRDefault="00047105" w:rsidP="00047105">
                  <w:pPr>
                    <w:jc w:val="center"/>
                    <w:rPr>
                      <w:rFonts w:ascii="Arial" w:hAnsi="Arial" w:cs="Arial"/>
                      <w:sz w:val="20"/>
                      <w:szCs w:val="20"/>
                    </w:rPr>
                  </w:pPr>
                  <w:r>
                    <w:rPr>
                      <w:rFonts w:ascii="Arial" w:hAnsi="Arial" w:cs="Arial"/>
                      <w:sz w:val="20"/>
                      <w:szCs w:val="20"/>
                    </w:rPr>
                    <w:t>20</w:t>
                  </w:r>
                </w:p>
              </w:tc>
              <w:tc>
                <w:tcPr>
                  <w:tcW w:w="630" w:type="dxa"/>
                  <w:tcBorders>
                    <w:top w:val="nil"/>
                    <w:left w:val="nil"/>
                    <w:bottom w:val="single" w:sz="4" w:space="0" w:color="auto"/>
                    <w:right w:val="nil"/>
                  </w:tcBorders>
                  <w:shd w:val="clear" w:color="auto" w:fill="D9E2F3" w:themeFill="accent1" w:themeFillTint="33"/>
                </w:tcPr>
                <w:p w14:paraId="5C552468" w14:textId="77777777" w:rsidR="00047105" w:rsidRDefault="00047105" w:rsidP="00047105">
                  <w:pPr>
                    <w:jc w:val="center"/>
                    <w:rPr>
                      <w:rFonts w:ascii="Arial" w:hAnsi="Arial" w:cs="Arial"/>
                      <w:sz w:val="20"/>
                      <w:szCs w:val="20"/>
                    </w:rPr>
                  </w:pPr>
                  <w:r>
                    <w:rPr>
                      <w:rFonts w:ascii="Arial" w:hAnsi="Arial" w:cs="Arial"/>
                      <w:sz w:val="20"/>
                      <w:szCs w:val="20"/>
                    </w:rPr>
                    <w:t>11</w:t>
                  </w:r>
                </w:p>
              </w:tc>
              <w:tc>
                <w:tcPr>
                  <w:tcW w:w="810" w:type="dxa"/>
                  <w:tcBorders>
                    <w:top w:val="nil"/>
                    <w:left w:val="nil"/>
                    <w:bottom w:val="single" w:sz="4" w:space="0" w:color="auto"/>
                    <w:right w:val="nil"/>
                  </w:tcBorders>
                  <w:shd w:val="clear" w:color="auto" w:fill="D9E2F3" w:themeFill="accent1" w:themeFillTint="33"/>
                </w:tcPr>
                <w:p w14:paraId="4962912F" w14:textId="77777777" w:rsidR="00047105" w:rsidRDefault="00047105" w:rsidP="00047105">
                  <w:pPr>
                    <w:jc w:val="center"/>
                    <w:rPr>
                      <w:rFonts w:ascii="Arial" w:hAnsi="Arial" w:cs="Arial"/>
                      <w:sz w:val="20"/>
                      <w:szCs w:val="20"/>
                    </w:rPr>
                  </w:pPr>
                  <w:r>
                    <w:rPr>
                      <w:rFonts w:ascii="Arial" w:hAnsi="Arial" w:cs="Arial"/>
                      <w:sz w:val="20"/>
                      <w:szCs w:val="20"/>
                    </w:rPr>
                    <w:t>2</w:t>
                  </w:r>
                </w:p>
              </w:tc>
            </w:tr>
          </w:tbl>
          <w:p w14:paraId="75C425EC" w14:textId="77777777" w:rsidR="00047105" w:rsidRPr="008037D4" w:rsidRDefault="00047105" w:rsidP="00047105">
            <w:pPr>
              <w:rPr>
                <w:rFonts w:ascii="Arial" w:hAnsi="Arial" w:cs="Arial"/>
                <w:sz w:val="20"/>
                <w:szCs w:val="20"/>
              </w:rPr>
            </w:pPr>
            <w:r>
              <w:rPr>
                <w:rFonts w:ascii="Arial" w:hAnsi="Arial" w:cs="Arial"/>
                <w:sz w:val="20"/>
                <w:szCs w:val="20"/>
              </w:rPr>
              <w:t xml:space="preserve">Note: includes only candidates </w:t>
            </w:r>
            <w:bookmarkEnd w:id="0"/>
            <w:r>
              <w:rPr>
                <w:rFonts w:ascii="Arial" w:hAnsi="Arial" w:cs="Arial"/>
                <w:sz w:val="20"/>
                <w:szCs w:val="20"/>
              </w:rPr>
              <w:t xml:space="preserve">having </w:t>
            </w:r>
            <w:bookmarkEnd w:id="1"/>
            <w:r>
              <w:rPr>
                <w:rFonts w:ascii="Arial" w:hAnsi="Arial" w:cs="Arial"/>
                <w:sz w:val="20"/>
                <w:szCs w:val="20"/>
              </w:rPr>
              <w:t>completed their degree.</w:t>
            </w:r>
          </w:p>
          <w:p w14:paraId="00EFBA69" w14:textId="77777777" w:rsidR="00047105" w:rsidRPr="00940F45" w:rsidRDefault="00047105" w:rsidP="00047105">
            <w:pPr>
              <w:rPr>
                <w:rFonts w:ascii="Arial" w:hAnsi="Arial" w:cs="Arial"/>
                <w:sz w:val="18"/>
                <w:szCs w:val="18"/>
              </w:rPr>
            </w:pPr>
            <w:r w:rsidRPr="00940F45">
              <w:rPr>
                <w:rFonts w:ascii="Arial" w:hAnsi="Arial" w:cs="Arial"/>
                <w:sz w:val="18"/>
                <w:szCs w:val="18"/>
              </w:rPr>
              <w:t>Source: Felles Studentsystem (FS)</w:t>
            </w:r>
          </w:p>
          <w:p w14:paraId="07CF0260" w14:textId="636C1507" w:rsidR="00047105" w:rsidRDefault="00047105" w:rsidP="00047105">
            <w:pPr>
              <w:rPr>
                <w:rFonts w:ascii="Arial" w:hAnsi="Arial" w:cs="Arial"/>
              </w:rPr>
            </w:pPr>
          </w:p>
          <w:p w14:paraId="446F8AFB" w14:textId="77777777" w:rsidR="008C70C3" w:rsidRPr="00365912" w:rsidRDefault="008C70C3" w:rsidP="00047105">
            <w:pPr>
              <w:rPr>
                <w:rFonts w:ascii="Arial" w:hAnsi="Arial" w:cs="Arial"/>
              </w:rPr>
            </w:pPr>
          </w:p>
          <w:p w14:paraId="6A870CD5" w14:textId="3874A228" w:rsidR="00CE5EB6" w:rsidRPr="00CE1ECB" w:rsidRDefault="00047105" w:rsidP="00CE1ECB">
            <w:pPr>
              <w:rPr>
                <w:rFonts w:ascii="Arial" w:hAnsi="Arial" w:cs="Arial"/>
              </w:rPr>
            </w:pPr>
            <w:r>
              <w:rPr>
                <w:rFonts w:ascii="Arial" w:hAnsi="Arial" w:cs="Arial"/>
              </w:rPr>
              <w:t>One important omission from the students’ evaluation of the program is related to the quality and effectiveness of the supervision, advising and timely feedback received by the student during the writing and research of their master’s thesis. Given that the thesis accounts for one-quarter of the work toward the degree, it would be useful to have some feedback on how well the courses prepared the student for their thesis and some sense for the quality of support (advise and supervision) the candidates receive during the process of undertaking research and writing. [</w:t>
            </w:r>
            <w:r w:rsidRPr="0079674C">
              <w:rPr>
                <w:rFonts w:ascii="Arial" w:hAnsi="Arial" w:cs="Arial"/>
                <w:highlight w:val="yellow"/>
              </w:rPr>
              <w:t>need this info</w:t>
            </w:r>
            <w:r>
              <w:rPr>
                <w:rFonts w:ascii="Arial" w:hAnsi="Arial" w:cs="Arial"/>
              </w:rPr>
              <w:t>]</w:t>
            </w:r>
          </w:p>
          <w:p w14:paraId="7A101557" w14:textId="20FB7A14" w:rsidR="00CE5EB6" w:rsidRDefault="00CE5EB6" w:rsidP="00571A14">
            <w:pPr>
              <w:autoSpaceDE w:val="0"/>
              <w:autoSpaceDN w:val="0"/>
              <w:adjustRightInd w:val="0"/>
              <w:rPr>
                <w:rFonts w:ascii="Times New Roman" w:hAnsi="Times New Roman" w:cs="Times New Roman"/>
                <w:sz w:val="24"/>
                <w:szCs w:val="24"/>
              </w:rPr>
            </w:pPr>
          </w:p>
        </w:tc>
      </w:tr>
    </w:tbl>
    <w:p w14:paraId="2ECC1F7A" w14:textId="713FD22A" w:rsidR="00571A14" w:rsidRDefault="00571A14" w:rsidP="00571A14">
      <w:pPr>
        <w:autoSpaceDE w:val="0"/>
        <w:autoSpaceDN w:val="0"/>
        <w:adjustRightInd w:val="0"/>
        <w:spacing w:after="0" w:line="240" w:lineRule="auto"/>
        <w:rPr>
          <w:rFonts w:ascii="Times New Roman" w:hAnsi="Times New Roman" w:cs="Times New Roman"/>
          <w:sz w:val="24"/>
          <w:szCs w:val="24"/>
        </w:rPr>
      </w:pPr>
    </w:p>
    <w:p w14:paraId="20BA0E52" w14:textId="77777777" w:rsidR="00CE5EB6" w:rsidRPr="00571A14" w:rsidRDefault="00CE5EB6" w:rsidP="00CE5EB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CE5EB6" w:rsidRPr="00571A14" w14:paraId="2A96B8B2" w14:textId="77777777" w:rsidTr="00AF5E68">
        <w:tc>
          <w:tcPr>
            <w:tcW w:w="9016" w:type="dxa"/>
            <w:shd w:val="clear" w:color="auto" w:fill="E2EFD9" w:themeFill="accent6" w:themeFillTint="33"/>
          </w:tcPr>
          <w:p w14:paraId="1CC41CEF" w14:textId="764F9FD0" w:rsidR="00CE5EB6" w:rsidRPr="00571A14" w:rsidRDefault="00CE5EB6" w:rsidP="00AF5E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Recently implemented measures and their effect:</w:t>
            </w:r>
          </w:p>
        </w:tc>
      </w:tr>
      <w:tr w:rsidR="00CE5EB6" w:rsidRPr="00571A14" w14:paraId="4F8F2616" w14:textId="77777777" w:rsidTr="00AF5E68">
        <w:tc>
          <w:tcPr>
            <w:tcW w:w="9016" w:type="dxa"/>
            <w:shd w:val="clear" w:color="auto" w:fill="E2EFD9" w:themeFill="accent6" w:themeFillTint="33"/>
          </w:tcPr>
          <w:p w14:paraId="73383D28" w14:textId="5EB2395D" w:rsidR="00CE5EB6" w:rsidRPr="00571A14" w:rsidRDefault="00CE5EB6" w:rsidP="00AF5E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Status and effect of implemented measures (follow-up of action plan from last year’s report and other implemented measures</w:t>
            </w:r>
          </w:p>
        </w:tc>
      </w:tr>
      <w:tr w:rsidR="00CE5EB6" w:rsidRPr="00571A14" w14:paraId="54CA51C2" w14:textId="77777777" w:rsidTr="00AF5E68">
        <w:tc>
          <w:tcPr>
            <w:tcW w:w="9016" w:type="dxa"/>
          </w:tcPr>
          <w:p w14:paraId="7CD4B3FE" w14:textId="77777777" w:rsidR="00CE5EB6" w:rsidRDefault="00CE5EB6" w:rsidP="00AF5E68">
            <w:pPr>
              <w:autoSpaceDE w:val="0"/>
              <w:autoSpaceDN w:val="0"/>
              <w:adjustRightInd w:val="0"/>
              <w:rPr>
                <w:rFonts w:ascii="Times New Roman" w:hAnsi="Times New Roman" w:cs="Times New Roman"/>
                <w:sz w:val="24"/>
                <w:szCs w:val="24"/>
              </w:rPr>
            </w:pPr>
          </w:p>
          <w:p w14:paraId="50E54627" w14:textId="14C40737" w:rsidR="007576DD" w:rsidRDefault="007576DD" w:rsidP="007576DD">
            <w:pPr>
              <w:rPr>
                <w:rFonts w:ascii="Arial" w:hAnsi="Arial" w:cs="Arial"/>
                <w:bCs/>
              </w:rPr>
            </w:pPr>
            <w:r>
              <w:rPr>
                <w:rFonts w:ascii="Arial" w:hAnsi="Arial" w:cs="Arial"/>
                <w:bCs/>
              </w:rPr>
              <w:t xml:space="preserve">There were only minor changes planned during 2021-22 for </w:t>
            </w:r>
            <w:r w:rsidR="007F2739">
              <w:rPr>
                <w:rFonts w:ascii="Arial" w:hAnsi="Arial" w:cs="Arial"/>
                <w:bCs/>
              </w:rPr>
              <w:t xml:space="preserve">implementation at the commencement of </w:t>
            </w:r>
            <w:r>
              <w:rPr>
                <w:rFonts w:ascii="Arial" w:hAnsi="Arial" w:cs="Arial"/>
                <w:bCs/>
              </w:rPr>
              <w:t xml:space="preserve">the 2022-23 academic year. Two items were given </w:t>
            </w:r>
            <w:r w:rsidR="005643EA">
              <w:rPr>
                <w:rFonts w:ascii="Arial" w:hAnsi="Arial" w:cs="Arial"/>
                <w:bCs/>
              </w:rPr>
              <w:t xml:space="preserve">particular </w:t>
            </w:r>
            <w:r>
              <w:rPr>
                <w:rFonts w:ascii="Arial" w:hAnsi="Arial" w:cs="Arial"/>
                <w:bCs/>
              </w:rPr>
              <w:t xml:space="preserve">attention, </w:t>
            </w:r>
            <w:r>
              <w:rPr>
                <w:rFonts w:ascii="Arial" w:hAnsi="Arial" w:cs="Arial"/>
                <w:bCs/>
              </w:rPr>
              <w:lastRenderedPageBreak/>
              <w:t xml:space="preserve">the future of ECN305 and the implementation of </w:t>
            </w:r>
            <w:r w:rsidR="005D7F62">
              <w:rPr>
                <w:rFonts w:ascii="Arial" w:hAnsi="Arial" w:cs="Arial"/>
                <w:bCs/>
              </w:rPr>
              <w:t xml:space="preserve">the </w:t>
            </w:r>
            <w:r>
              <w:rPr>
                <w:rFonts w:ascii="Arial" w:hAnsi="Arial" w:cs="Arial"/>
                <w:bCs/>
              </w:rPr>
              <w:t>pilot internship program. ECN305 (research methods) was restructured for 2022-23 and has a new instructor. It was agreed that it would remain a 5-ECTS course offered in the autumn of the second year, but that there would be more involvement of other faculty members and digital content (tailored to the groupwork activities) to help with the tasks that are to be done in groups. The first half of the semester involve</w:t>
            </w:r>
            <w:r w:rsidR="004C3A14">
              <w:rPr>
                <w:rFonts w:ascii="Arial" w:hAnsi="Arial" w:cs="Arial"/>
                <w:bCs/>
              </w:rPr>
              <w:t>s</w:t>
            </w:r>
            <w:r>
              <w:rPr>
                <w:rFonts w:ascii="Arial" w:hAnsi="Arial" w:cs="Arial"/>
                <w:bCs/>
              </w:rPr>
              <w:t xml:space="preserve"> lectures and self-study geared toward the completion of the groupwork assignments. The second half of the semester would be more focused on mentoring/supervision and individual tasks that assist the student to develop their research proposal. The program council agreed to follow-up with the class to see whether the restructured course (and the modules within) and the mentoring systems </w:t>
            </w:r>
            <w:r w:rsidR="00183022">
              <w:rPr>
                <w:rFonts w:ascii="Arial" w:hAnsi="Arial" w:cs="Arial"/>
                <w:bCs/>
              </w:rPr>
              <w:t xml:space="preserve">therein </w:t>
            </w:r>
            <w:r>
              <w:rPr>
                <w:rFonts w:ascii="Arial" w:hAnsi="Arial" w:cs="Arial"/>
                <w:bCs/>
              </w:rPr>
              <w:t xml:space="preserve">prepare </w:t>
            </w:r>
            <w:r w:rsidR="00183022">
              <w:rPr>
                <w:rFonts w:ascii="Arial" w:hAnsi="Arial" w:cs="Arial"/>
                <w:bCs/>
              </w:rPr>
              <w:t xml:space="preserve">students </w:t>
            </w:r>
            <w:r>
              <w:rPr>
                <w:rFonts w:ascii="Arial" w:hAnsi="Arial" w:cs="Arial"/>
                <w:bCs/>
              </w:rPr>
              <w:t xml:space="preserve">effectively for the thesis and research work to be done in their final spring semester. </w:t>
            </w:r>
            <w:r w:rsidR="00D877C3">
              <w:rPr>
                <w:rFonts w:ascii="Arial" w:hAnsi="Arial" w:cs="Arial"/>
                <w:bCs/>
              </w:rPr>
              <w:t xml:space="preserve">The program council in collaboration with the program leader of M-ØA will also monitor the </w:t>
            </w:r>
            <w:r w:rsidR="00F83D21">
              <w:rPr>
                <w:rFonts w:ascii="Arial" w:hAnsi="Arial" w:cs="Arial"/>
                <w:bCs/>
              </w:rPr>
              <w:t>experience of the internships under the pilot p</w:t>
            </w:r>
            <w:r w:rsidR="00C519E2">
              <w:rPr>
                <w:rFonts w:ascii="Arial" w:hAnsi="Arial" w:cs="Arial"/>
                <w:bCs/>
              </w:rPr>
              <w:t>rogram. There is already one case where a student from the M-ECON and</w:t>
            </w:r>
            <w:r w:rsidR="00B71E6C">
              <w:rPr>
                <w:rFonts w:ascii="Arial" w:hAnsi="Arial" w:cs="Arial"/>
                <w:bCs/>
              </w:rPr>
              <w:t xml:space="preserve"> from M-ØA</w:t>
            </w:r>
            <w:r>
              <w:rPr>
                <w:rFonts w:ascii="Arial" w:hAnsi="Arial" w:cs="Arial"/>
                <w:bCs/>
              </w:rPr>
              <w:t xml:space="preserve"> </w:t>
            </w:r>
            <w:r w:rsidR="00B71E6C">
              <w:rPr>
                <w:rFonts w:ascii="Arial" w:hAnsi="Arial" w:cs="Arial"/>
                <w:bCs/>
              </w:rPr>
              <w:t xml:space="preserve">have teamed up on an internship, testing the </w:t>
            </w:r>
            <w:r w:rsidR="00510D2F">
              <w:rPr>
                <w:rFonts w:ascii="Arial" w:hAnsi="Arial" w:cs="Arial"/>
                <w:bCs/>
              </w:rPr>
              <w:t xml:space="preserve">robustness of the </w:t>
            </w:r>
            <w:r w:rsidR="00B71E6C">
              <w:rPr>
                <w:rFonts w:ascii="Arial" w:hAnsi="Arial" w:cs="Arial"/>
                <w:bCs/>
              </w:rPr>
              <w:t>supervision and</w:t>
            </w:r>
            <w:r w:rsidR="00510D2F">
              <w:rPr>
                <w:rFonts w:ascii="Arial" w:hAnsi="Arial" w:cs="Arial"/>
                <w:bCs/>
              </w:rPr>
              <w:t xml:space="preserve"> evaluation under the slightly different systems of the two programs.  </w:t>
            </w:r>
          </w:p>
          <w:p w14:paraId="581BE6F3" w14:textId="77777777" w:rsidR="007576DD" w:rsidRDefault="007576DD" w:rsidP="00AF5E68">
            <w:pPr>
              <w:autoSpaceDE w:val="0"/>
              <w:autoSpaceDN w:val="0"/>
              <w:adjustRightInd w:val="0"/>
              <w:rPr>
                <w:rFonts w:ascii="Times New Roman" w:hAnsi="Times New Roman" w:cs="Times New Roman"/>
                <w:sz w:val="24"/>
                <w:szCs w:val="24"/>
              </w:rPr>
            </w:pPr>
          </w:p>
          <w:p w14:paraId="41B4EBE4" w14:textId="2252633C" w:rsidR="000B48C8" w:rsidRPr="00571A14" w:rsidRDefault="005643EA" w:rsidP="00AF5E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Finally, the M-ECON program </w:t>
            </w:r>
            <w:r w:rsidR="00780BBD">
              <w:rPr>
                <w:rFonts w:ascii="Times New Roman" w:hAnsi="Times New Roman" w:cs="Times New Roman"/>
                <w:sz w:val="24"/>
                <w:szCs w:val="24"/>
              </w:rPr>
              <w:t xml:space="preserve">developed </w:t>
            </w:r>
            <w:r w:rsidR="008612E2">
              <w:rPr>
                <w:rFonts w:ascii="Times New Roman" w:hAnsi="Times New Roman" w:cs="Times New Roman"/>
                <w:sz w:val="24"/>
                <w:szCs w:val="24"/>
              </w:rPr>
              <w:t>a</w:t>
            </w:r>
            <w:r w:rsidR="00701302">
              <w:rPr>
                <w:rFonts w:ascii="Times New Roman" w:hAnsi="Times New Roman" w:cs="Times New Roman"/>
                <w:sz w:val="24"/>
                <w:szCs w:val="24"/>
              </w:rPr>
              <w:t>n evaluation form to assess the quality of supervision of students during the research and writing process of their thesis. T</w:t>
            </w:r>
            <w:r w:rsidR="00116A48">
              <w:rPr>
                <w:rFonts w:ascii="Times New Roman" w:hAnsi="Times New Roman" w:cs="Times New Roman"/>
                <w:sz w:val="24"/>
                <w:szCs w:val="24"/>
              </w:rPr>
              <w:t xml:space="preserve">he evaluation forms were developed in time for those students defending their thesis in June 2022. </w:t>
            </w:r>
          </w:p>
        </w:tc>
      </w:tr>
    </w:tbl>
    <w:p w14:paraId="70AF67B3" w14:textId="606EE568" w:rsidR="00CE5EB6" w:rsidRDefault="00CE5EB6" w:rsidP="00CE5EB6">
      <w:pPr>
        <w:autoSpaceDE w:val="0"/>
        <w:autoSpaceDN w:val="0"/>
        <w:adjustRightInd w:val="0"/>
        <w:spacing w:after="0" w:line="240" w:lineRule="auto"/>
        <w:rPr>
          <w:rFonts w:ascii="Times New Roman" w:hAnsi="Times New Roman" w:cs="Times New Roman"/>
          <w:sz w:val="24"/>
          <w:szCs w:val="24"/>
        </w:rPr>
      </w:pPr>
    </w:p>
    <w:p w14:paraId="1963A9B0" w14:textId="77777777" w:rsidR="00116A48" w:rsidRPr="00571A14" w:rsidRDefault="00116A48" w:rsidP="00CE5EB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983DC7" w:rsidRPr="00571A14" w14:paraId="5037036B" w14:textId="77777777" w:rsidTr="00AF5E68">
        <w:tc>
          <w:tcPr>
            <w:tcW w:w="9016" w:type="dxa"/>
            <w:shd w:val="clear" w:color="auto" w:fill="E2EFD9" w:themeFill="accent6" w:themeFillTint="33"/>
          </w:tcPr>
          <w:p w14:paraId="2C6C4244" w14:textId="638C9988" w:rsidR="00983DC7" w:rsidRPr="00571A14" w:rsidRDefault="00983DC7" w:rsidP="00AF5E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Action plan with measures and responsibility for follow-up:</w:t>
            </w:r>
          </w:p>
        </w:tc>
      </w:tr>
      <w:tr w:rsidR="00983DC7" w:rsidRPr="00571A14" w14:paraId="13F688A7" w14:textId="77777777" w:rsidTr="00AF5E68">
        <w:tc>
          <w:tcPr>
            <w:tcW w:w="9016" w:type="dxa"/>
            <w:shd w:val="clear" w:color="auto" w:fill="E2EFD9" w:themeFill="accent6" w:themeFillTint="33"/>
          </w:tcPr>
          <w:p w14:paraId="698AFC1B" w14:textId="60341A30" w:rsidR="00983DC7" w:rsidRPr="00571A14" w:rsidRDefault="00983DC7" w:rsidP="00AF5E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faculty / academic community’s input to measures to increase the quality of the program</w:t>
            </w:r>
          </w:p>
        </w:tc>
      </w:tr>
      <w:tr w:rsidR="00983DC7" w:rsidRPr="00571A14" w14:paraId="3B8652A5" w14:textId="77777777" w:rsidTr="00AF5E68">
        <w:tc>
          <w:tcPr>
            <w:tcW w:w="9016" w:type="dxa"/>
          </w:tcPr>
          <w:sdt>
            <w:sdtPr>
              <w:rPr>
                <w:rFonts w:ascii="Arial" w:hAnsi="Arial" w:cs="Arial"/>
              </w:rPr>
              <w:id w:val="1458758555"/>
              <w:placeholder>
                <w:docPart w:val="7BF8BBD5B9D04565BA49B2C3AC633F77"/>
              </w:placeholder>
            </w:sdtPr>
            <w:sdtEndPr/>
            <w:sdtContent>
              <w:p w14:paraId="3C95DD53" w14:textId="77777777" w:rsidR="00485C48" w:rsidRPr="00AD639C" w:rsidRDefault="00485C48" w:rsidP="00485C48">
                <w:pPr>
                  <w:rPr>
                    <w:rFonts w:ascii="Arial" w:hAnsi="Arial" w:cs="Arial"/>
                  </w:rPr>
                </w:pPr>
                <w:r w:rsidRPr="00AD639C">
                  <w:rPr>
                    <w:rFonts w:ascii="Arial" w:hAnsi="Arial" w:cs="Arial"/>
                  </w:rPr>
                  <w:t xml:space="preserve">The 2020 action plan </w:t>
                </w:r>
                <w:r>
                  <w:rPr>
                    <w:rFonts w:ascii="Arial" w:hAnsi="Arial" w:cs="Arial"/>
                  </w:rPr>
                  <w:t xml:space="preserve">of the School of Economics and Business specified the </w:t>
                </w:r>
                <w:r w:rsidRPr="00AD639C">
                  <w:rPr>
                    <w:rFonts w:ascii="Arial" w:hAnsi="Arial" w:cs="Arial"/>
                  </w:rPr>
                  <w:t xml:space="preserve">initiatives </w:t>
                </w:r>
                <w:r>
                  <w:rPr>
                    <w:rFonts w:ascii="Arial" w:hAnsi="Arial" w:cs="Arial"/>
                  </w:rPr>
                  <w:t>that were relevant at the M-ECON program level and related to teaching.</w:t>
                </w:r>
              </w:p>
              <w:p w14:paraId="5C58855A" w14:textId="77777777" w:rsidR="00485C48" w:rsidRDefault="00485C48" w:rsidP="00485C48">
                <w:pPr>
                  <w:rPr>
                    <w:rFonts w:ascii="Arial" w:hAnsi="Arial" w:cs="Arial"/>
                  </w:rPr>
                </w:pPr>
              </w:p>
              <w:p w14:paraId="4B00C37B" w14:textId="77777777" w:rsidR="00485C48" w:rsidRDefault="00485C48" w:rsidP="00485C48">
                <w:pPr>
                  <w:rPr>
                    <w:rFonts w:ascii="Arial" w:hAnsi="Arial" w:cs="Arial"/>
                  </w:rPr>
                </w:pPr>
                <w:r>
                  <w:rPr>
                    <w:rFonts w:ascii="Arial" w:hAnsi="Arial" w:cs="Arial"/>
                  </w:rPr>
                  <w:t>The program-related initiatives aimed for the program to:</w:t>
                </w:r>
              </w:p>
              <w:p w14:paraId="77583433" w14:textId="77777777" w:rsidR="00485C48" w:rsidRPr="00AD639C" w:rsidRDefault="00485C48" w:rsidP="00485C48">
                <w:pPr>
                  <w:rPr>
                    <w:rFonts w:ascii="Arial" w:hAnsi="Arial" w:cs="Arial"/>
                  </w:rPr>
                </w:pPr>
              </w:p>
              <w:p w14:paraId="0DD785A9" w14:textId="77777777" w:rsidR="00485C48" w:rsidRDefault="00485C48" w:rsidP="00485C48">
                <w:pPr>
                  <w:pStyle w:val="ListParagraph"/>
                  <w:numPr>
                    <w:ilvl w:val="0"/>
                    <w:numId w:val="2"/>
                  </w:numPr>
                  <w:ind w:left="453" w:hanging="283"/>
                  <w:rPr>
                    <w:rFonts w:ascii="Arial" w:hAnsi="Arial" w:cs="Arial"/>
                    <w:lang w:val="en-US"/>
                  </w:rPr>
                </w:pPr>
                <w:r w:rsidRPr="008C6C52">
                  <w:rPr>
                    <w:rFonts w:ascii="Arial" w:hAnsi="Arial" w:cs="Arial"/>
                    <w:lang w:val="en-US"/>
                  </w:rPr>
                  <w:t>Realiz</w:t>
                </w:r>
                <w:r>
                  <w:rPr>
                    <w:rFonts w:ascii="Arial" w:hAnsi="Arial" w:cs="Arial"/>
                    <w:lang w:val="en-US"/>
                  </w:rPr>
                  <w:t>e</w:t>
                </w:r>
                <w:r w:rsidRPr="008C6C52">
                  <w:rPr>
                    <w:rFonts w:ascii="Arial" w:hAnsi="Arial" w:cs="Arial"/>
                    <w:lang w:val="en-US"/>
                  </w:rPr>
                  <w:t xml:space="preserve"> synergies between programs, among other things, by establishing joint specialization offers that are su</w:t>
                </w:r>
                <w:r>
                  <w:rPr>
                    <w:rFonts w:ascii="Arial" w:hAnsi="Arial" w:cs="Arial"/>
                    <w:lang w:val="en-US"/>
                  </w:rPr>
                  <w:t>i</w:t>
                </w:r>
                <w:r w:rsidRPr="008C6C52">
                  <w:rPr>
                    <w:rFonts w:ascii="Arial" w:hAnsi="Arial" w:cs="Arial"/>
                    <w:lang w:val="en-US"/>
                  </w:rPr>
                  <w:t>table for several master’s programs;</w:t>
                </w:r>
              </w:p>
              <w:p w14:paraId="202F650F" w14:textId="77777777" w:rsidR="00485C48" w:rsidRDefault="00485C48" w:rsidP="00485C48">
                <w:pPr>
                  <w:pStyle w:val="ListParagraph"/>
                  <w:numPr>
                    <w:ilvl w:val="0"/>
                    <w:numId w:val="2"/>
                  </w:numPr>
                  <w:ind w:left="453" w:hanging="283"/>
                  <w:rPr>
                    <w:rFonts w:ascii="Arial" w:hAnsi="Arial" w:cs="Arial"/>
                    <w:lang w:val="en-US"/>
                  </w:rPr>
                </w:pPr>
                <w:r>
                  <w:rPr>
                    <w:rFonts w:ascii="Arial" w:hAnsi="Arial" w:cs="Arial"/>
                    <w:lang w:val="en-US"/>
                  </w:rPr>
                  <w:t>Streamline the master’s offering, among other things, by considering courses every other year;</w:t>
                </w:r>
              </w:p>
              <w:p w14:paraId="5544C0EC" w14:textId="77777777" w:rsidR="00485C48" w:rsidRDefault="00485C48" w:rsidP="00485C48">
                <w:pPr>
                  <w:pStyle w:val="ListParagraph"/>
                  <w:numPr>
                    <w:ilvl w:val="0"/>
                    <w:numId w:val="2"/>
                  </w:numPr>
                  <w:ind w:left="453" w:hanging="283"/>
                  <w:rPr>
                    <w:rFonts w:ascii="Arial" w:hAnsi="Arial" w:cs="Arial"/>
                    <w:lang w:val="en-US"/>
                  </w:rPr>
                </w:pPr>
                <w:r>
                  <w:rPr>
                    <w:rFonts w:ascii="Arial" w:hAnsi="Arial" w:cs="Arial"/>
                    <w:lang w:val="en-US"/>
                  </w:rPr>
                  <w:t xml:space="preserve">Implement measures that are expected to make specializations more attractive to students as a means of increasing student numbers, including the composition of the courses set up against the needs of the labor market; and </w:t>
                </w:r>
              </w:p>
              <w:p w14:paraId="49A9FAB8" w14:textId="77777777" w:rsidR="00485C48" w:rsidRDefault="00485C48" w:rsidP="00485C48">
                <w:pPr>
                  <w:pStyle w:val="ListParagraph"/>
                  <w:numPr>
                    <w:ilvl w:val="0"/>
                    <w:numId w:val="2"/>
                  </w:numPr>
                  <w:ind w:left="453" w:hanging="283"/>
                  <w:rPr>
                    <w:rFonts w:ascii="Arial" w:hAnsi="Arial" w:cs="Arial"/>
                    <w:lang w:val="en-US"/>
                  </w:rPr>
                </w:pPr>
                <w:r>
                  <w:rPr>
                    <w:rFonts w:ascii="Arial" w:hAnsi="Arial" w:cs="Arial"/>
                    <w:lang w:val="en-US"/>
                  </w:rPr>
                  <w:t>Identify opportunities for and possibly implement measures that integrate digitization and technological knowhow in the study programs.</w:t>
                </w:r>
              </w:p>
              <w:p w14:paraId="19044EA5" w14:textId="77777777" w:rsidR="00485C48" w:rsidRDefault="00485C48" w:rsidP="00485C48">
                <w:pPr>
                  <w:rPr>
                    <w:rFonts w:ascii="Arial" w:hAnsi="Arial" w:cs="Arial"/>
                  </w:rPr>
                </w:pPr>
              </w:p>
              <w:p w14:paraId="5549D5B3" w14:textId="77777777" w:rsidR="00485C48" w:rsidRDefault="00485C48" w:rsidP="00485C48">
                <w:pPr>
                  <w:rPr>
                    <w:rFonts w:ascii="Arial" w:hAnsi="Arial" w:cs="Arial"/>
                  </w:rPr>
                </w:pPr>
                <w:r>
                  <w:rPr>
                    <w:rFonts w:ascii="Arial" w:hAnsi="Arial" w:cs="Arial"/>
                  </w:rPr>
                  <w:t>The teaching-related initiatives aimed for the program to:</w:t>
                </w:r>
              </w:p>
              <w:p w14:paraId="0C9811FE" w14:textId="77777777" w:rsidR="00485C48" w:rsidRPr="00202CDC" w:rsidRDefault="00485C48" w:rsidP="00485C48">
                <w:pPr>
                  <w:rPr>
                    <w:rFonts w:ascii="Arial" w:hAnsi="Arial" w:cs="Arial"/>
                  </w:rPr>
                </w:pPr>
              </w:p>
              <w:p w14:paraId="40F6E835" w14:textId="77777777" w:rsidR="00485C48" w:rsidRDefault="00485C48" w:rsidP="00485C48">
                <w:pPr>
                  <w:pStyle w:val="ListParagraph"/>
                  <w:numPr>
                    <w:ilvl w:val="0"/>
                    <w:numId w:val="3"/>
                  </w:numPr>
                  <w:ind w:left="453" w:hanging="283"/>
                  <w:rPr>
                    <w:rFonts w:ascii="Arial" w:hAnsi="Arial" w:cs="Arial"/>
                    <w:lang w:val="en-US"/>
                  </w:rPr>
                </w:pPr>
                <w:r w:rsidRPr="00C21190">
                  <w:rPr>
                    <w:rFonts w:ascii="Arial" w:hAnsi="Arial" w:cs="Arial"/>
                    <w:lang w:val="en-US"/>
                  </w:rPr>
                  <w:t xml:space="preserve">Conduct </w:t>
                </w:r>
                <w:r>
                  <w:rPr>
                    <w:rFonts w:ascii="Arial" w:hAnsi="Arial" w:cs="Arial"/>
                    <w:lang w:val="en-US"/>
                  </w:rPr>
                  <w:t xml:space="preserve">a </w:t>
                </w:r>
                <w:r w:rsidRPr="00C21190">
                  <w:rPr>
                    <w:rFonts w:ascii="Arial" w:hAnsi="Arial" w:cs="Arial"/>
                    <w:lang w:val="en-US"/>
                  </w:rPr>
                  <w:t>periodic meeting for a</w:t>
                </w:r>
                <w:r>
                  <w:rPr>
                    <w:rFonts w:ascii="Arial" w:hAnsi="Arial" w:cs="Arial"/>
                    <w:lang w:val="en-US"/>
                  </w:rPr>
                  <w:t>ll study programs with the main focus on revision of course names, learning objectives, learning and assessment activities; and</w:t>
                </w:r>
              </w:p>
              <w:p w14:paraId="5B37162A" w14:textId="77777777" w:rsidR="00485C48" w:rsidRDefault="00485C48" w:rsidP="00485C48">
                <w:pPr>
                  <w:pStyle w:val="ListParagraph"/>
                  <w:numPr>
                    <w:ilvl w:val="0"/>
                    <w:numId w:val="3"/>
                  </w:numPr>
                  <w:ind w:left="453" w:hanging="283"/>
                  <w:rPr>
                    <w:rFonts w:ascii="Arial" w:hAnsi="Arial" w:cs="Arial"/>
                    <w:lang w:val="en-US"/>
                  </w:rPr>
                </w:pPr>
                <w:r>
                  <w:rPr>
                    <w:rFonts w:ascii="Arial" w:hAnsi="Arial" w:cs="Arial"/>
                    <w:lang w:val="en-US"/>
                  </w:rPr>
                  <w:t>Monitor the dropout rate in the study programs and intensify the work of conducting study program-specific information meetings.</w:t>
                </w:r>
              </w:p>
              <w:p w14:paraId="6B5A2C16" w14:textId="77777777" w:rsidR="00485C48" w:rsidRDefault="00485C48" w:rsidP="00485C48">
                <w:pPr>
                  <w:rPr>
                    <w:rFonts w:ascii="Arial" w:hAnsi="Arial" w:cs="Arial"/>
                  </w:rPr>
                </w:pPr>
              </w:p>
              <w:p w14:paraId="7D5A383B" w14:textId="77777777" w:rsidR="00485C48" w:rsidRDefault="00485C48" w:rsidP="00485C48">
                <w:pPr>
                  <w:rPr>
                    <w:rFonts w:ascii="Arial" w:hAnsi="Arial" w:cs="Arial"/>
                  </w:rPr>
                </w:pPr>
                <w:r>
                  <w:rPr>
                    <w:rFonts w:ascii="Arial" w:hAnsi="Arial" w:cs="Arial"/>
                  </w:rPr>
                  <w:t xml:space="preserve">Under the program-related initiatives, the most important measure taken in conformity with the action plan was the creation of the joint specialization in Agribusiness and Food Economics. The specialization is managed under the M-ØA program but has been tailored and structured in such a manner that students under M-ECON and M-ØA can both pursue the specialization. This was a pragmatic solution to the likelihood that the M-ECON program would be unable to find a critical mass of its candidates to support the specialization. By contrast the M-ØA program could be better suited to attract enough students to justify the re-offering of two economics courses that buttress the specialization </w:t>
                </w:r>
                <w:r>
                  <w:rPr>
                    <w:rFonts w:ascii="Arial" w:hAnsi="Arial" w:cs="Arial"/>
                  </w:rPr>
                  <w:lastRenderedPageBreak/>
                  <w:t xml:space="preserve">(ECN330 Economic Integration and Trade Liberalization and ECN263 Food Industry Economics). </w:t>
                </w:r>
              </w:p>
              <w:p w14:paraId="092C3389" w14:textId="77777777" w:rsidR="00485C48" w:rsidRDefault="00485C48" w:rsidP="00485C48">
                <w:pPr>
                  <w:rPr>
                    <w:rFonts w:ascii="Arial" w:hAnsi="Arial" w:cs="Arial"/>
                  </w:rPr>
                </w:pPr>
              </w:p>
              <w:p w14:paraId="7FC1CB3C" w14:textId="77777777" w:rsidR="00485C48" w:rsidRPr="00AD639C" w:rsidRDefault="00485C48" w:rsidP="00485C48">
                <w:pPr>
                  <w:rPr>
                    <w:rFonts w:ascii="Arial" w:hAnsi="Arial" w:cs="Arial"/>
                  </w:rPr>
                </w:pPr>
                <w:r>
                  <w:rPr>
                    <w:rFonts w:ascii="Arial" w:hAnsi="Arial" w:cs="Arial"/>
                  </w:rPr>
                  <w:t xml:space="preserve">The core courses in this specialization includes both 300-level courses in economics and business and are common to students from both programs. Nevertheless, business and economics students must still satisfy all course requirements under their respective programs. The joint specialization streamlines the administration of the specialization and brings business and economics faculty in closer contact, while bringing business and economics students to pursue more inter-disciplinary profiles in addition to being exposed to different pedagogical methods. For the economics side of the program, the initiative could broaden the appeal of some of its courses to the business administration students who might have avoided taking economics courses. This should help increase the class size of some of the economics courses. Furthermore, because it is a joint specialization, the core courses must be taught in English to accommodate international students enrolled in the M-ECON program. This means that more business courses are to be taught in English which gives exchange students a greater range of choice among economics and business courses.  </w:t>
                </w:r>
              </w:p>
              <w:p w14:paraId="489EAD0A" w14:textId="77777777" w:rsidR="00485C48" w:rsidRDefault="00485C48" w:rsidP="00485C48">
                <w:pPr>
                  <w:rPr>
                    <w:rFonts w:ascii="Arial" w:hAnsi="Arial" w:cs="Arial"/>
                  </w:rPr>
                </w:pPr>
              </w:p>
              <w:p w14:paraId="0A61365F" w14:textId="77777777" w:rsidR="00485C48" w:rsidRDefault="00485C48" w:rsidP="00485C48">
                <w:pPr>
                  <w:rPr>
                    <w:rFonts w:ascii="Arial" w:hAnsi="Arial" w:cs="Arial"/>
                  </w:rPr>
                </w:pPr>
                <w:r>
                  <w:rPr>
                    <w:rFonts w:ascii="Arial" w:hAnsi="Arial" w:cs="Arial"/>
                  </w:rPr>
                  <w:t xml:space="preserve">Similarly, an Environment, Climate and Energy specialization was created under the M-ØA. This will further attract business students to economics courses, strengthening the ties between students in business and economics. This is mirrored in reverse as the M-ECON specialization in Finance and Commodity Market Analysis has economics students taking course in business together with M-ØA students. </w:t>
                </w:r>
              </w:p>
              <w:p w14:paraId="4E6F96E7" w14:textId="77777777" w:rsidR="00485C48" w:rsidRDefault="00485C48" w:rsidP="00485C48">
                <w:pPr>
                  <w:rPr>
                    <w:rFonts w:ascii="Arial" w:hAnsi="Arial" w:cs="Arial"/>
                  </w:rPr>
                </w:pPr>
              </w:p>
              <w:p w14:paraId="29FD0532" w14:textId="77777777" w:rsidR="00485C48" w:rsidRDefault="00485C48" w:rsidP="00485C48">
                <w:pPr>
                  <w:rPr>
                    <w:rFonts w:ascii="Arial" w:hAnsi="Arial" w:cs="Arial"/>
                  </w:rPr>
                </w:pPr>
                <w:r>
                  <w:rPr>
                    <w:rFonts w:ascii="Arial" w:hAnsi="Arial" w:cs="Arial"/>
                  </w:rPr>
                  <w:t xml:space="preserve">The request for internships has been expressed more frequently in recent years. This is in line with the government’s intent for education to place greater emphasis on work life relevance. The stated priority includes: </w:t>
                </w:r>
              </w:p>
              <w:p w14:paraId="6ABD0A81" w14:textId="77777777" w:rsidR="00485C48" w:rsidRDefault="00485C48" w:rsidP="00485C48">
                <w:pPr>
                  <w:rPr>
                    <w:rFonts w:ascii="Arial" w:hAnsi="Arial" w:cs="Arial"/>
                  </w:rPr>
                </w:pPr>
              </w:p>
              <w:p w14:paraId="7148F1AB" w14:textId="77777777" w:rsidR="00485C48" w:rsidRDefault="00485C48" w:rsidP="00485C48">
                <w:pPr>
                  <w:pStyle w:val="ListParagraph"/>
                  <w:numPr>
                    <w:ilvl w:val="0"/>
                    <w:numId w:val="3"/>
                  </w:numPr>
                  <w:rPr>
                    <w:rFonts w:ascii="Arial" w:hAnsi="Arial" w:cs="Arial"/>
                    <w:lang w:val="en-US"/>
                  </w:rPr>
                </w:pPr>
                <w:r>
                  <w:rPr>
                    <w:rFonts w:ascii="Arial" w:hAnsi="Arial" w:cs="Arial"/>
                    <w:lang w:val="en-US"/>
                  </w:rPr>
                  <w:t>Better cooperation with the business community</w:t>
                </w:r>
              </w:p>
              <w:p w14:paraId="166C2229" w14:textId="77777777" w:rsidR="00485C48" w:rsidRDefault="00485C48" w:rsidP="00485C48">
                <w:pPr>
                  <w:pStyle w:val="ListParagraph"/>
                  <w:numPr>
                    <w:ilvl w:val="0"/>
                    <w:numId w:val="3"/>
                  </w:numPr>
                  <w:rPr>
                    <w:rFonts w:ascii="Arial" w:hAnsi="Arial" w:cs="Arial"/>
                    <w:lang w:val="en-US"/>
                  </w:rPr>
                </w:pPr>
                <w:r>
                  <w:rPr>
                    <w:rFonts w:ascii="Arial" w:hAnsi="Arial" w:cs="Arial"/>
                    <w:lang w:val="en-US"/>
                  </w:rPr>
                  <w:t>More open and more flexible study offers</w:t>
                </w:r>
              </w:p>
              <w:p w14:paraId="4D674E3E" w14:textId="77777777" w:rsidR="00485C48" w:rsidRDefault="00485C48" w:rsidP="00485C48">
                <w:pPr>
                  <w:pStyle w:val="ListParagraph"/>
                  <w:numPr>
                    <w:ilvl w:val="0"/>
                    <w:numId w:val="3"/>
                  </w:numPr>
                  <w:rPr>
                    <w:rFonts w:ascii="Arial" w:hAnsi="Arial" w:cs="Arial"/>
                    <w:lang w:val="en-US"/>
                  </w:rPr>
                </w:pPr>
                <w:r>
                  <w:rPr>
                    <w:rFonts w:ascii="Arial" w:hAnsi="Arial" w:cs="Arial"/>
                    <w:lang w:val="en-US"/>
                  </w:rPr>
                  <w:t>Lifelong learning</w:t>
                </w:r>
              </w:p>
              <w:p w14:paraId="0F318814" w14:textId="77777777" w:rsidR="00485C48" w:rsidRDefault="00485C48" w:rsidP="00485C48">
                <w:pPr>
                  <w:pStyle w:val="ListParagraph"/>
                  <w:numPr>
                    <w:ilvl w:val="0"/>
                    <w:numId w:val="3"/>
                  </w:numPr>
                  <w:rPr>
                    <w:rFonts w:ascii="Arial" w:hAnsi="Arial" w:cs="Arial"/>
                    <w:lang w:val="en-US"/>
                  </w:rPr>
                </w:pPr>
                <w:r>
                  <w:rPr>
                    <w:rFonts w:ascii="Arial" w:hAnsi="Arial" w:cs="Arial"/>
                    <w:lang w:val="en-US"/>
                  </w:rPr>
                  <w:t>Increased capacity for further education</w:t>
                </w:r>
              </w:p>
              <w:p w14:paraId="7A3E1BCA" w14:textId="77777777" w:rsidR="00485C48" w:rsidRDefault="00485C48" w:rsidP="00485C48">
                <w:pPr>
                  <w:pStyle w:val="ListParagraph"/>
                  <w:numPr>
                    <w:ilvl w:val="0"/>
                    <w:numId w:val="3"/>
                  </w:numPr>
                  <w:rPr>
                    <w:rFonts w:ascii="Arial" w:hAnsi="Arial" w:cs="Arial"/>
                    <w:lang w:val="en-US"/>
                  </w:rPr>
                </w:pPr>
                <w:r>
                  <w:rPr>
                    <w:rFonts w:ascii="Arial" w:hAnsi="Arial" w:cs="Arial"/>
                    <w:lang w:val="en-US"/>
                  </w:rPr>
                  <w:t>Innovation and entrepreneurship</w:t>
                </w:r>
              </w:p>
              <w:p w14:paraId="3BBCFAE3" w14:textId="77777777" w:rsidR="00485C48" w:rsidRDefault="00485C48" w:rsidP="00485C48">
                <w:pPr>
                  <w:pStyle w:val="ListParagraph"/>
                  <w:numPr>
                    <w:ilvl w:val="0"/>
                    <w:numId w:val="3"/>
                  </w:numPr>
                  <w:rPr>
                    <w:rFonts w:ascii="Arial" w:hAnsi="Arial" w:cs="Arial"/>
                    <w:lang w:val="en-US"/>
                  </w:rPr>
                </w:pPr>
                <w:r>
                  <w:rPr>
                    <w:rFonts w:ascii="Arial" w:hAnsi="Arial" w:cs="Arial"/>
                    <w:lang w:val="en-US"/>
                  </w:rPr>
                  <w:t>More and better practices.</w:t>
                </w:r>
              </w:p>
              <w:p w14:paraId="5BF19C85" w14:textId="77777777" w:rsidR="00485C48" w:rsidRPr="002C3551" w:rsidRDefault="00485C48" w:rsidP="00485C48">
                <w:pPr>
                  <w:rPr>
                    <w:rFonts w:ascii="Arial" w:hAnsi="Arial" w:cs="Arial"/>
                  </w:rPr>
                </w:pPr>
              </w:p>
              <w:p w14:paraId="5F0E9426" w14:textId="77777777" w:rsidR="00485C48" w:rsidRDefault="00485C48" w:rsidP="00485C48">
                <w:pPr>
                  <w:rPr>
                    <w:rFonts w:ascii="Arial" w:hAnsi="Arial" w:cs="Arial"/>
                  </w:rPr>
                </w:pPr>
                <w:r>
                  <w:rPr>
                    <w:rFonts w:ascii="Arial" w:hAnsi="Arial" w:cs="Arial"/>
                  </w:rPr>
                  <w:t xml:space="preserve">For the School of Economics and Business, the education provided is expected to have a high relevance to work life in its programs. Despite our graduates employed in jobs relevant to their work experience, M-ECON students have signaled that their contact with the business community (or work life) during their studies is inadequate. Work life relevance is not just about job opportunities, but about the interaction between the place of study and work during the study period. In 2021-22, initial steps were taken to identify businesses and institutions with which M-ECON and M-ØA could collaborate to create a competitive internship program (for a select number of candidates) and facilitate processes by which students could, through their own efforts, establish a cooperative relationship with a company or institution on a subject related to a course or as part of their thesis research. These discussions moved in parallel with an idea to develop a mentorship program (i.e., an executive in residence). </w:t>
                </w:r>
              </w:p>
              <w:p w14:paraId="4D565CFB" w14:textId="77777777" w:rsidR="00485C48" w:rsidRDefault="00485C48" w:rsidP="00485C48">
                <w:pPr>
                  <w:rPr>
                    <w:rFonts w:ascii="Arial" w:hAnsi="Arial" w:cs="Arial"/>
                  </w:rPr>
                </w:pPr>
              </w:p>
              <w:p w14:paraId="0539E799" w14:textId="77777777" w:rsidR="00485C48" w:rsidRDefault="00485C48" w:rsidP="00485C48">
                <w:pPr>
                  <w:rPr>
                    <w:rFonts w:ascii="Arial" w:hAnsi="Arial" w:cs="Arial"/>
                  </w:rPr>
                </w:pPr>
                <w:r>
                  <w:rPr>
                    <w:rFonts w:ascii="Arial" w:hAnsi="Arial" w:cs="Arial"/>
                  </w:rPr>
                  <w:t xml:space="preserve">Under the teaching-related initiatives, the institutionalizing of periodic meetings (through open forum with students) has been a useful means of following up with students, getting first-hand feedback, suggestions, and insights into their impressions of the courses, teaching methods, relevance of the specializations, and the program overall.  </w:t>
                </w:r>
              </w:p>
              <w:p w14:paraId="197686F7" w14:textId="77777777" w:rsidR="00485C48" w:rsidRDefault="00485C48" w:rsidP="00485C48">
                <w:pPr>
                  <w:rPr>
                    <w:rFonts w:ascii="Arial" w:hAnsi="Arial" w:cs="Arial"/>
                  </w:rPr>
                </w:pPr>
              </w:p>
              <w:p w14:paraId="732475EA" w14:textId="77777777" w:rsidR="00485C48" w:rsidRPr="004E665A" w:rsidRDefault="00485C48" w:rsidP="00485C48">
                <w:pPr>
                  <w:rPr>
                    <w:rFonts w:ascii="Arial" w:hAnsi="Arial" w:cs="Arial"/>
                  </w:rPr>
                </w:pPr>
                <w:r>
                  <w:rPr>
                    <w:rFonts w:ascii="Arial" w:hAnsi="Arial" w:cs="Arial"/>
                  </w:rPr>
                  <w:t xml:space="preserve">In 2020 the program council encouraged adoption of measures by which students could feel part of a social and professional community right from the start of the program. At the program level, introductory courses at the start of the program were intended for the class to work in small groups with faculty mentors on themes that emphasizes the strength of the curriculum, e.g., sustainability. At the course level, more groupwork has become the </w:t>
                </w:r>
                <w:r>
                  <w:rPr>
                    <w:rFonts w:ascii="Arial" w:hAnsi="Arial" w:cs="Arial"/>
                  </w:rPr>
                  <w:lastRenderedPageBreak/>
                  <w:t xml:space="preserve">rule not the exception. Courses offered early in the program (ECN302 Math for Economists) serve to have the class meet and work together on assignments. At the same time, social outings and events with first- and second-year students and with the economics faculty are to be arranged to reinforce social cohesion and group dynamics.   While Covid-19 distancing requirements made this impossible in 2020-21, the initiatives envisaged were implemented in 2021-22. </w:t>
                </w:r>
              </w:p>
              <w:p w14:paraId="58CC7716" w14:textId="77777777" w:rsidR="00485C48" w:rsidRDefault="00986B17" w:rsidP="00485C48">
                <w:pPr>
                  <w:rPr>
                    <w:rFonts w:ascii="Arial" w:hAnsi="Arial" w:cs="Arial"/>
                  </w:rPr>
                </w:pPr>
              </w:p>
            </w:sdtContent>
          </w:sdt>
          <w:p w14:paraId="73E53745" w14:textId="77777777" w:rsidR="00983DC7" w:rsidRPr="00571A14" w:rsidRDefault="00983DC7" w:rsidP="00AF5E68">
            <w:pPr>
              <w:autoSpaceDE w:val="0"/>
              <w:autoSpaceDN w:val="0"/>
              <w:adjustRightInd w:val="0"/>
              <w:rPr>
                <w:rFonts w:ascii="Times New Roman" w:hAnsi="Times New Roman" w:cs="Times New Roman"/>
                <w:sz w:val="24"/>
                <w:szCs w:val="24"/>
              </w:rPr>
            </w:pPr>
          </w:p>
        </w:tc>
      </w:tr>
    </w:tbl>
    <w:p w14:paraId="2B1D5218" w14:textId="77777777" w:rsidR="00983DC7" w:rsidRPr="00571A14" w:rsidRDefault="00983DC7" w:rsidP="00983DC7">
      <w:pPr>
        <w:autoSpaceDE w:val="0"/>
        <w:autoSpaceDN w:val="0"/>
        <w:adjustRightInd w:val="0"/>
        <w:spacing w:after="0" w:line="240" w:lineRule="auto"/>
        <w:rPr>
          <w:rFonts w:ascii="Times New Roman" w:hAnsi="Times New Roman" w:cs="Times New Roman"/>
          <w:sz w:val="24"/>
          <w:szCs w:val="24"/>
        </w:rPr>
      </w:pPr>
    </w:p>
    <w:p w14:paraId="0B6F4FF7" w14:textId="77777777" w:rsidR="00983DC7" w:rsidRPr="00571A14" w:rsidRDefault="00983DC7" w:rsidP="00983D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983DC7" w:rsidRPr="00571A14" w14:paraId="7706196A" w14:textId="77777777" w:rsidTr="00AF5E68">
        <w:tc>
          <w:tcPr>
            <w:tcW w:w="9016" w:type="dxa"/>
            <w:shd w:val="clear" w:color="auto" w:fill="E2EFD9" w:themeFill="accent6" w:themeFillTint="33"/>
          </w:tcPr>
          <w:p w14:paraId="485B70E0" w14:textId="62F5B9CD" w:rsidR="00983DC7" w:rsidRPr="00571A14" w:rsidRDefault="00983DC7" w:rsidP="00AF5E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Any further comments:</w:t>
            </w:r>
          </w:p>
        </w:tc>
      </w:tr>
      <w:tr w:rsidR="00983DC7" w:rsidRPr="00571A14" w14:paraId="291C4A87" w14:textId="77777777" w:rsidTr="00AF5E68">
        <w:tc>
          <w:tcPr>
            <w:tcW w:w="9016" w:type="dxa"/>
          </w:tcPr>
          <w:p w14:paraId="21C1F68D" w14:textId="77777777" w:rsidR="00983DC7" w:rsidRPr="00571A14" w:rsidRDefault="00983DC7" w:rsidP="00AF5E68">
            <w:pPr>
              <w:autoSpaceDE w:val="0"/>
              <w:autoSpaceDN w:val="0"/>
              <w:adjustRightInd w:val="0"/>
              <w:rPr>
                <w:rFonts w:ascii="Times New Roman" w:hAnsi="Times New Roman" w:cs="Times New Roman"/>
                <w:sz w:val="24"/>
                <w:szCs w:val="24"/>
              </w:rPr>
            </w:pPr>
          </w:p>
        </w:tc>
      </w:tr>
      <w:tr w:rsidR="00983DC7" w:rsidRPr="00571A14" w14:paraId="089A66BF" w14:textId="77777777" w:rsidTr="00983DC7">
        <w:tc>
          <w:tcPr>
            <w:tcW w:w="9016" w:type="dxa"/>
            <w:shd w:val="clear" w:color="auto" w:fill="E2EFD9" w:themeFill="accent6" w:themeFillTint="33"/>
          </w:tcPr>
          <w:p w14:paraId="6186B9FF" w14:textId="55CC1FD2" w:rsidR="00983DC7" w:rsidRPr="00571A14" w:rsidRDefault="00983DC7" w:rsidP="00AF5E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About the report:</w:t>
            </w:r>
          </w:p>
        </w:tc>
      </w:tr>
      <w:tr w:rsidR="00983DC7" w:rsidRPr="00571A14" w14:paraId="3B610103" w14:textId="77777777" w:rsidTr="00AF5E68">
        <w:tc>
          <w:tcPr>
            <w:tcW w:w="9016" w:type="dxa"/>
          </w:tcPr>
          <w:p w14:paraId="364E26E7" w14:textId="68DEBF99" w:rsidR="00983DC7" w:rsidRDefault="00983DC7" w:rsidP="00983DC7">
            <w:pPr>
              <w:autoSpaceDE w:val="0"/>
              <w:autoSpaceDN w:val="0"/>
              <w:adjustRightInd w:val="0"/>
              <w:rPr>
                <w:rFonts w:ascii="Calibri" w:hAnsi="Calibri" w:cs="Calibri"/>
                <w:sz w:val="23"/>
                <w:szCs w:val="23"/>
              </w:rPr>
            </w:pPr>
            <w:r w:rsidRPr="00983DC7">
              <w:rPr>
                <w:rFonts w:ascii="Calibri" w:hAnsi="Calibri" w:cs="Calibri"/>
                <w:sz w:val="23"/>
                <w:szCs w:val="23"/>
              </w:rPr>
              <w:t>The report is processed by:</w:t>
            </w:r>
          </w:p>
          <w:p w14:paraId="44693908" w14:textId="77777777" w:rsidR="00983DC7" w:rsidRPr="00983DC7" w:rsidRDefault="00983DC7" w:rsidP="00983DC7">
            <w:pPr>
              <w:autoSpaceDE w:val="0"/>
              <w:autoSpaceDN w:val="0"/>
              <w:adjustRightInd w:val="0"/>
              <w:rPr>
                <w:rFonts w:ascii="Calibri" w:hAnsi="Calibri" w:cs="Calibri"/>
                <w:sz w:val="23"/>
                <w:szCs w:val="23"/>
              </w:rPr>
            </w:pPr>
          </w:p>
          <w:p w14:paraId="6F3745E7" w14:textId="07872129" w:rsidR="00983DC7" w:rsidRDefault="009D14E9" w:rsidP="00983DC7">
            <w:pPr>
              <w:autoSpaceDE w:val="0"/>
              <w:autoSpaceDN w:val="0"/>
              <w:adjustRightInd w:val="0"/>
              <w:rPr>
                <w:rFonts w:ascii="Calibri" w:hAnsi="Calibri" w:cs="Calibri"/>
                <w:sz w:val="23"/>
                <w:szCs w:val="23"/>
                <w:lang w:val="nb-NO"/>
              </w:rPr>
            </w:pPr>
            <w:r>
              <w:rPr>
                <w:rFonts w:ascii="Segoe UI Symbol" w:eastAsia="MS-Gothic" w:hAnsi="Segoe UI Symbol" w:cs="Segoe UI Symbol"/>
                <w:sz w:val="23"/>
                <w:szCs w:val="23"/>
                <w:lang w:val="nb-NO"/>
              </w:rPr>
              <w:t>⊠</w:t>
            </w:r>
            <w:r w:rsidR="00983DC7">
              <w:rPr>
                <w:rFonts w:ascii="MS-Gothic" w:eastAsia="MS-Gothic" w:hAnsi="Calibri" w:cs="MS-Gothic"/>
                <w:sz w:val="23"/>
                <w:szCs w:val="23"/>
                <w:lang w:val="nb-NO"/>
              </w:rPr>
              <w:t xml:space="preserve"> </w:t>
            </w:r>
            <w:r w:rsidR="00983DC7">
              <w:rPr>
                <w:rFonts w:ascii="Calibri" w:hAnsi="Calibri" w:cs="Calibri"/>
                <w:sz w:val="23"/>
                <w:szCs w:val="23"/>
                <w:lang w:val="nb-NO"/>
              </w:rPr>
              <w:t>Program Council</w:t>
            </w:r>
          </w:p>
          <w:p w14:paraId="3681B4E4" w14:textId="77777777" w:rsidR="00983DC7" w:rsidRDefault="00983DC7" w:rsidP="00983DC7">
            <w:pPr>
              <w:autoSpaceDE w:val="0"/>
              <w:autoSpaceDN w:val="0"/>
              <w:adjustRightInd w:val="0"/>
              <w:rPr>
                <w:rFonts w:ascii="Calibri" w:hAnsi="Calibri" w:cs="Calibri"/>
                <w:sz w:val="23"/>
                <w:szCs w:val="23"/>
                <w:lang w:val="nb-NO"/>
              </w:rPr>
            </w:pPr>
            <w:r>
              <w:rPr>
                <w:rFonts w:ascii="Segoe UI Symbol" w:eastAsia="MS-Gothic" w:hAnsi="Segoe UI Symbol" w:cs="Segoe UI Symbol"/>
                <w:sz w:val="23"/>
                <w:szCs w:val="23"/>
                <w:lang w:val="nb-NO"/>
              </w:rPr>
              <w:t>☐</w:t>
            </w:r>
            <w:r>
              <w:rPr>
                <w:rFonts w:ascii="MS-Gothic" w:eastAsia="MS-Gothic" w:hAnsi="Calibri" w:cs="MS-Gothic"/>
                <w:sz w:val="23"/>
                <w:szCs w:val="23"/>
                <w:lang w:val="nb-NO"/>
              </w:rPr>
              <w:t xml:space="preserve"> </w:t>
            </w:r>
            <w:r>
              <w:rPr>
                <w:rFonts w:ascii="Calibri" w:hAnsi="Calibri" w:cs="Calibri"/>
                <w:sz w:val="23"/>
                <w:szCs w:val="23"/>
                <w:lang w:val="nb-NO"/>
              </w:rPr>
              <w:t>Fakultetets studie/utdanningsutvalg</w:t>
            </w:r>
          </w:p>
          <w:p w14:paraId="29055FFA" w14:textId="77777777" w:rsidR="00983DC7" w:rsidRDefault="00983DC7" w:rsidP="00983DC7">
            <w:pPr>
              <w:autoSpaceDE w:val="0"/>
              <w:autoSpaceDN w:val="0"/>
              <w:adjustRightInd w:val="0"/>
              <w:rPr>
                <w:rFonts w:ascii="Calibri" w:hAnsi="Calibri" w:cs="Calibri"/>
                <w:sz w:val="23"/>
                <w:szCs w:val="23"/>
                <w:lang w:val="nb-NO"/>
              </w:rPr>
            </w:pPr>
            <w:r>
              <w:rPr>
                <w:rFonts w:ascii="Segoe UI Symbol" w:eastAsia="MS-Gothic" w:hAnsi="Segoe UI Symbol" w:cs="Segoe UI Symbol"/>
                <w:sz w:val="23"/>
                <w:szCs w:val="23"/>
                <w:lang w:val="nb-NO"/>
              </w:rPr>
              <w:t>☐</w:t>
            </w:r>
            <w:r>
              <w:rPr>
                <w:rFonts w:ascii="MS-Gothic" w:eastAsia="MS-Gothic" w:hAnsi="Calibri" w:cs="MS-Gothic"/>
                <w:sz w:val="23"/>
                <w:szCs w:val="23"/>
                <w:lang w:val="nb-NO"/>
              </w:rPr>
              <w:t xml:space="preserve"> </w:t>
            </w:r>
            <w:r>
              <w:rPr>
                <w:rFonts w:ascii="Calibri" w:hAnsi="Calibri" w:cs="Calibri"/>
                <w:sz w:val="23"/>
                <w:szCs w:val="23"/>
                <w:lang w:val="nb-NO"/>
              </w:rPr>
              <w:t>Fakultetsstyret</w:t>
            </w:r>
          </w:p>
          <w:p w14:paraId="44897873" w14:textId="77777777" w:rsidR="00983DC7" w:rsidRPr="005A7297" w:rsidRDefault="00983DC7" w:rsidP="00983DC7">
            <w:pPr>
              <w:autoSpaceDE w:val="0"/>
              <w:autoSpaceDN w:val="0"/>
              <w:adjustRightInd w:val="0"/>
              <w:rPr>
                <w:rFonts w:ascii="Calibri" w:hAnsi="Calibri" w:cs="Calibri"/>
                <w:sz w:val="23"/>
                <w:szCs w:val="23"/>
                <w:lang w:val="nb-NO"/>
              </w:rPr>
            </w:pPr>
          </w:p>
          <w:p w14:paraId="4E3FC8CB" w14:textId="3479ED18" w:rsidR="00983DC7" w:rsidRPr="00983DC7" w:rsidRDefault="00983DC7" w:rsidP="00983DC7">
            <w:pPr>
              <w:autoSpaceDE w:val="0"/>
              <w:autoSpaceDN w:val="0"/>
              <w:adjustRightInd w:val="0"/>
              <w:rPr>
                <w:rFonts w:ascii="Calibri" w:hAnsi="Calibri" w:cs="Calibri"/>
                <w:sz w:val="23"/>
                <w:szCs w:val="23"/>
              </w:rPr>
            </w:pPr>
            <w:r w:rsidRPr="00983DC7">
              <w:rPr>
                <w:rFonts w:ascii="Calibri" w:hAnsi="Calibri" w:cs="Calibri"/>
                <w:sz w:val="23"/>
                <w:szCs w:val="23"/>
              </w:rPr>
              <w:t>The report was prepared by:</w:t>
            </w:r>
          </w:p>
          <w:p w14:paraId="7665D31D" w14:textId="1FB6E741" w:rsidR="00983DC7" w:rsidRPr="00571A14" w:rsidRDefault="00983DC7" w:rsidP="00983DC7">
            <w:pPr>
              <w:autoSpaceDE w:val="0"/>
              <w:autoSpaceDN w:val="0"/>
              <w:adjustRightInd w:val="0"/>
              <w:rPr>
                <w:rFonts w:ascii="Times New Roman" w:hAnsi="Times New Roman" w:cs="Times New Roman"/>
                <w:sz w:val="24"/>
                <w:szCs w:val="24"/>
              </w:rPr>
            </w:pPr>
            <w:r w:rsidRPr="00983DC7">
              <w:rPr>
                <w:rFonts w:ascii="Calibri" w:hAnsi="Calibri" w:cs="Calibri"/>
                <w:sz w:val="23"/>
                <w:szCs w:val="23"/>
              </w:rPr>
              <w:t xml:space="preserve">Program leader: </w:t>
            </w:r>
            <w:r w:rsidRPr="00983DC7">
              <w:rPr>
                <w:rFonts w:ascii="Calibri-Bold" w:hAnsi="Calibri-Bold" w:cs="Calibri-Bold"/>
                <w:b/>
                <w:bCs/>
                <w:sz w:val="29"/>
                <w:szCs w:val="29"/>
              </w:rPr>
              <w:t>Robert</w:t>
            </w:r>
            <w:r w:rsidR="00425E40">
              <w:rPr>
                <w:rFonts w:ascii="Calibri-Bold" w:hAnsi="Calibri-Bold" w:cs="Calibri-Bold"/>
                <w:b/>
                <w:bCs/>
                <w:sz w:val="29"/>
                <w:szCs w:val="29"/>
              </w:rPr>
              <w:t>o</w:t>
            </w:r>
            <w:r w:rsidRPr="00983DC7">
              <w:rPr>
                <w:rFonts w:ascii="Calibri-Bold" w:hAnsi="Calibri-Bold" w:cs="Calibri-Bold"/>
                <w:b/>
                <w:bCs/>
                <w:sz w:val="29"/>
                <w:szCs w:val="29"/>
              </w:rPr>
              <w:t xml:space="preserve"> Javier Garcia</w:t>
            </w:r>
          </w:p>
        </w:tc>
      </w:tr>
    </w:tbl>
    <w:p w14:paraId="3D63E593" w14:textId="77777777" w:rsidR="00983DC7" w:rsidRPr="00571A14" w:rsidRDefault="00983DC7" w:rsidP="00983DC7">
      <w:pPr>
        <w:autoSpaceDE w:val="0"/>
        <w:autoSpaceDN w:val="0"/>
        <w:adjustRightInd w:val="0"/>
        <w:spacing w:after="0" w:line="240" w:lineRule="auto"/>
        <w:rPr>
          <w:rFonts w:ascii="Times New Roman" w:hAnsi="Times New Roman" w:cs="Times New Roman"/>
          <w:sz w:val="24"/>
          <w:szCs w:val="24"/>
        </w:rPr>
      </w:pPr>
    </w:p>
    <w:p w14:paraId="3C6B0BA6" w14:textId="77777777" w:rsidR="00983DC7" w:rsidRPr="00571A14" w:rsidRDefault="00983DC7" w:rsidP="00983DC7">
      <w:pPr>
        <w:autoSpaceDE w:val="0"/>
        <w:autoSpaceDN w:val="0"/>
        <w:adjustRightInd w:val="0"/>
        <w:spacing w:after="0" w:line="240" w:lineRule="auto"/>
        <w:rPr>
          <w:rFonts w:ascii="Times New Roman" w:hAnsi="Times New Roman" w:cs="Times New Roman"/>
          <w:sz w:val="24"/>
          <w:szCs w:val="24"/>
        </w:rPr>
      </w:pPr>
    </w:p>
    <w:p w14:paraId="1EE32781" w14:textId="77777777" w:rsidR="00983DC7" w:rsidRPr="00571A14" w:rsidRDefault="00983DC7" w:rsidP="00983DC7">
      <w:pPr>
        <w:autoSpaceDE w:val="0"/>
        <w:autoSpaceDN w:val="0"/>
        <w:adjustRightInd w:val="0"/>
        <w:spacing w:after="0" w:line="240" w:lineRule="auto"/>
        <w:rPr>
          <w:rFonts w:ascii="Times New Roman" w:hAnsi="Times New Roman" w:cs="Times New Roman"/>
          <w:sz w:val="24"/>
          <w:szCs w:val="24"/>
        </w:rPr>
      </w:pPr>
    </w:p>
    <w:p w14:paraId="534888EF" w14:textId="77777777" w:rsidR="00CE5EB6" w:rsidRPr="00571A14" w:rsidRDefault="00CE5EB6" w:rsidP="00571A14">
      <w:pPr>
        <w:autoSpaceDE w:val="0"/>
        <w:autoSpaceDN w:val="0"/>
        <w:adjustRightInd w:val="0"/>
        <w:spacing w:after="0" w:line="240" w:lineRule="auto"/>
        <w:rPr>
          <w:rFonts w:ascii="Times New Roman" w:hAnsi="Times New Roman" w:cs="Times New Roman"/>
          <w:sz w:val="24"/>
          <w:szCs w:val="24"/>
        </w:rPr>
      </w:pPr>
    </w:p>
    <w:sectPr w:rsidR="00CE5EB6" w:rsidRPr="00571A14" w:rsidSect="00443D4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5D63" w14:textId="77777777" w:rsidR="00986B17" w:rsidRDefault="00986B17" w:rsidP="00983DC7">
      <w:pPr>
        <w:spacing w:after="0" w:line="240" w:lineRule="auto"/>
      </w:pPr>
      <w:r>
        <w:separator/>
      </w:r>
    </w:p>
  </w:endnote>
  <w:endnote w:type="continuationSeparator" w:id="0">
    <w:p w14:paraId="171C953E" w14:textId="77777777" w:rsidR="00986B17" w:rsidRDefault="00986B17" w:rsidP="0098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88C5" w14:textId="77777777" w:rsidR="00986B17" w:rsidRDefault="00986B17" w:rsidP="00983DC7">
      <w:pPr>
        <w:spacing w:after="0" w:line="240" w:lineRule="auto"/>
      </w:pPr>
      <w:r>
        <w:separator/>
      </w:r>
    </w:p>
  </w:footnote>
  <w:footnote w:type="continuationSeparator" w:id="0">
    <w:p w14:paraId="6D745D63" w14:textId="77777777" w:rsidR="00986B17" w:rsidRDefault="00986B17" w:rsidP="00983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0157"/>
    <w:multiLevelType w:val="hybridMultilevel"/>
    <w:tmpl w:val="515CA270"/>
    <w:lvl w:ilvl="0" w:tplc="ADF08622">
      <w:numFmt w:val="bullet"/>
      <w:lvlText w:val=""/>
      <w:lvlJc w:val="left"/>
      <w:pPr>
        <w:ind w:left="420" w:hanging="360"/>
      </w:pPr>
      <w:rPr>
        <w:rFonts w:ascii="Symbol" w:eastAsiaTheme="minorHAnsi" w:hAnsi="Symbo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3ABC1077"/>
    <w:multiLevelType w:val="hybridMultilevel"/>
    <w:tmpl w:val="A1966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773672"/>
    <w:multiLevelType w:val="hybridMultilevel"/>
    <w:tmpl w:val="EAA8A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F1231E"/>
    <w:multiLevelType w:val="hybridMultilevel"/>
    <w:tmpl w:val="FD182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26630780">
    <w:abstractNumId w:val="0"/>
  </w:num>
  <w:num w:numId="2" w16cid:durableId="719326883">
    <w:abstractNumId w:val="2"/>
  </w:num>
  <w:num w:numId="3" w16cid:durableId="990790149">
    <w:abstractNumId w:val="3"/>
  </w:num>
  <w:num w:numId="4" w16cid:durableId="132955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14"/>
    <w:rsid w:val="00045340"/>
    <w:rsid w:val="00047105"/>
    <w:rsid w:val="000B48C8"/>
    <w:rsid w:val="000C4321"/>
    <w:rsid w:val="00116A48"/>
    <w:rsid w:val="001401A3"/>
    <w:rsid w:val="00183022"/>
    <w:rsid w:val="001874D4"/>
    <w:rsid w:val="0019336C"/>
    <w:rsid w:val="001F4987"/>
    <w:rsid w:val="00236FC6"/>
    <w:rsid w:val="0027202F"/>
    <w:rsid w:val="002D65AE"/>
    <w:rsid w:val="002E303C"/>
    <w:rsid w:val="00375371"/>
    <w:rsid w:val="00375A6F"/>
    <w:rsid w:val="0038700F"/>
    <w:rsid w:val="003B292C"/>
    <w:rsid w:val="00410A9E"/>
    <w:rsid w:val="00425E40"/>
    <w:rsid w:val="00441756"/>
    <w:rsid w:val="00443D42"/>
    <w:rsid w:val="004528D8"/>
    <w:rsid w:val="00485C48"/>
    <w:rsid w:val="004B4438"/>
    <w:rsid w:val="004C3A14"/>
    <w:rsid w:val="004C6A4E"/>
    <w:rsid w:val="004C77E8"/>
    <w:rsid w:val="00510D2F"/>
    <w:rsid w:val="005259C0"/>
    <w:rsid w:val="005643EA"/>
    <w:rsid w:val="005646D4"/>
    <w:rsid w:val="00571A14"/>
    <w:rsid w:val="005A7297"/>
    <w:rsid w:val="005C4F23"/>
    <w:rsid w:val="005D7F62"/>
    <w:rsid w:val="0061088E"/>
    <w:rsid w:val="00616163"/>
    <w:rsid w:val="00670D02"/>
    <w:rsid w:val="00696B1C"/>
    <w:rsid w:val="006E32E3"/>
    <w:rsid w:val="006F2098"/>
    <w:rsid w:val="00701302"/>
    <w:rsid w:val="007100F8"/>
    <w:rsid w:val="007576DD"/>
    <w:rsid w:val="00763EDD"/>
    <w:rsid w:val="007657C0"/>
    <w:rsid w:val="00770D7A"/>
    <w:rsid w:val="00780BBD"/>
    <w:rsid w:val="007F2739"/>
    <w:rsid w:val="0080128E"/>
    <w:rsid w:val="00836844"/>
    <w:rsid w:val="008612E2"/>
    <w:rsid w:val="00867B8E"/>
    <w:rsid w:val="008C70C3"/>
    <w:rsid w:val="009571A0"/>
    <w:rsid w:val="00983DC7"/>
    <w:rsid w:val="00986B17"/>
    <w:rsid w:val="009C29AA"/>
    <w:rsid w:val="009D14E9"/>
    <w:rsid w:val="00A331CF"/>
    <w:rsid w:val="00A85698"/>
    <w:rsid w:val="00A97240"/>
    <w:rsid w:val="00AA7D79"/>
    <w:rsid w:val="00AD0E08"/>
    <w:rsid w:val="00AF5A6A"/>
    <w:rsid w:val="00B20B9C"/>
    <w:rsid w:val="00B351C5"/>
    <w:rsid w:val="00B3575C"/>
    <w:rsid w:val="00B71E6C"/>
    <w:rsid w:val="00C001CF"/>
    <w:rsid w:val="00C32D57"/>
    <w:rsid w:val="00C519E2"/>
    <w:rsid w:val="00CB58B6"/>
    <w:rsid w:val="00CD7184"/>
    <w:rsid w:val="00CE0A34"/>
    <w:rsid w:val="00CE1ECB"/>
    <w:rsid w:val="00CE5EB6"/>
    <w:rsid w:val="00D61D10"/>
    <w:rsid w:val="00D849A4"/>
    <w:rsid w:val="00D877C3"/>
    <w:rsid w:val="00D9661A"/>
    <w:rsid w:val="00DA1BF3"/>
    <w:rsid w:val="00E05A18"/>
    <w:rsid w:val="00E12878"/>
    <w:rsid w:val="00E76278"/>
    <w:rsid w:val="00F243CE"/>
    <w:rsid w:val="00F52937"/>
    <w:rsid w:val="00F83D21"/>
    <w:rsid w:val="00F85306"/>
    <w:rsid w:val="00FB7982"/>
    <w:rsid w:val="00FC27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790F0"/>
  <w15:chartTrackingRefBased/>
  <w15:docId w15:val="{9115687E-EB48-4435-848A-90A6C16A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297"/>
    <w:pPr>
      <w:ind w:left="720"/>
      <w:contextualSpacing/>
    </w:pPr>
    <w:rPr>
      <w:lang w:val="nb-NO"/>
    </w:rPr>
  </w:style>
  <w:style w:type="paragraph" w:customStyle="1" w:styleId="TableParagraph">
    <w:name w:val="Table Paragraph"/>
    <w:basedOn w:val="Normal"/>
    <w:uiPriority w:val="1"/>
    <w:qFormat/>
    <w:rsid w:val="00B351C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972F8F46D244F1AB4B6A3704C52CD1"/>
        <w:category>
          <w:name w:val="General"/>
          <w:gallery w:val="placeholder"/>
        </w:category>
        <w:types>
          <w:type w:val="bbPlcHdr"/>
        </w:types>
        <w:behaviors>
          <w:behavior w:val="content"/>
        </w:behaviors>
        <w:guid w:val="{6DC44DB0-FE6C-40E6-8FD4-640DC76D818B}"/>
      </w:docPartPr>
      <w:docPartBody>
        <w:p w:rsidR="006E3B10" w:rsidRDefault="00A4137E" w:rsidP="00A4137E">
          <w:pPr>
            <w:pStyle w:val="40972F8F46D244F1AB4B6A3704C52CD1"/>
          </w:pPr>
          <w:r w:rsidRPr="00084364">
            <w:rPr>
              <w:rStyle w:val="PlaceholderText"/>
            </w:rPr>
            <w:t>Click or tap here to enter text.</w:t>
          </w:r>
        </w:p>
      </w:docPartBody>
    </w:docPart>
    <w:docPart>
      <w:docPartPr>
        <w:name w:val="7BF8BBD5B9D04565BA49B2C3AC633F77"/>
        <w:category>
          <w:name w:val="General"/>
          <w:gallery w:val="placeholder"/>
        </w:category>
        <w:types>
          <w:type w:val="bbPlcHdr"/>
        </w:types>
        <w:behaviors>
          <w:behavior w:val="content"/>
        </w:behaviors>
        <w:guid w:val="{4C000691-9DA4-4F8D-8394-E694CA4AE2C5}"/>
      </w:docPartPr>
      <w:docPartBody>
        <w:p w:rsidR="006E3B10" w:rsidRDefault="00A4137E" w:rsidP="00A4137E">
          <w:pPr>
            <w:pStyle w:val="7BF8BBD5B9D04565BA49B2C3AC633F77"/>
          </w:pPr>
          <w:r w:rsidRPr="000843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7E"/>
    <w:rsid w:val="006E3B10"/>
    <w:rsid w:val="00952015"/>
    <w:rsid w:val="00A413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37E"/>
    <w:rPr>
      <w:color w:val="808080"/>
    </w:rPr>
  </w:style>
  <w:style w:type="paragraph" w:customStyle="1" w:styleId="40972F8F46D244F1AB4B6A3704C52CD1">
    <w:name w:val="40972F8F46D244F1AB4B6A3704C52CD1"/>
    <w:rsid w:val="00A4137E"/>
  </w:style>
  <w:style w:type="paragraph" w:customStyle="1" w:styleId="7BF8BBD5B9D04565BA49B2C3AC633F77">
    <w:name w:val="7BF8BBD5B9D04565BA49B2C3AC633F77"/>
    <w:rsid w:val="00A41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5563</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J. Garcia</dc:creator>
  <cp:keywords/>
  <dc:description/>
  <cp:lastModifiedBy>Roberto J. Garcia</cp:lastModifiedBy>
  <cp:revision>85</cp:revision>
  <dcterms:created xsi:type="dcterms:W3CDTF">2022-07-06T09:59:00Z</dcterms:created>
  <dcterms:modified xsi:type="dcterms:W3CDTF">2022-08-28T17:59:00Z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2022-07-06T09:59:57Z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eacbcee3-20b8-48a8-9b45-c0181530d2a5</vt:lpwstr>
  </property>
  <property fmtid="{D5CDD505-2E9C-101B-9397-08002B2CF9AE}" pid="8" name="MSIP_Label_d0484126-3486-41a9-802e-7f1e2277276c_ContentBits">
    <vt:lpwstr>0</vt:lpwstr>
  </property>
</Properties>
</file>